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20898" w14:textId="77777777" w:rsidR="00F517F7" w:rsidRPr="009766D4" w:rsidRDefault="00F517F7">
      <w:pPr>
        <w:pStyle w:val="BodyText"/>
        <w:spacing w:before="222"/>
        <w:rPr>
          <w:rFonts w:ascii="Arial" w:hAnsi="Arial" w:cs="Arial"/>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5"/>
        <w:gridCol w:w="2670"/>
        <w:gridCol w:w="2245"/>
        <w:gridCol w:w="2214"/>
      </w:tblGrid>
      <w:tr w:rsidR="00F517F7" w:rsidRPr="009766D4" w14:paraId="6E92089D" w14:textId="77777777" w:rsidTr="43C100B7">
        <w:trPr>
          <w:trHeight w:val="530"/>
        </w:trPr>
        <w:tc>
          <w:tcPr>
            <w:tcW w:w="2225" w:type="dxa"/>
            <w:shd w:val="clear" w:color="auto" w:fill="E4E4E4"/>
          </w:tcPr>
          <w:p w14:paraId="6E920899" w14:textId="77777777" w:rsidR="00F517F7" w:rsidRPr="009766D4" w:rsidRDefault="00362A0D">
            <w:pPr>
              <w:pStyle w:val="TableParagraph"/>
              <w:spacing w:before="3"/>
              <w:rPr>
                <w:rFonts w:ascii="Arial" w:hAnsi="Arial" w:cs="Arial"/>
                <w:b/>
              </w:rPr>
            </w:pPr>
            <w:r w:rsidRPr="009766D4">
              <w:rPr>
                <w:rFonts w:ascii="Arial" w:hAnsi="Arial" w:cs="Arial"/>
                <w:b/>
                <w:color w:val="EC7C30"/>
                <w:spacing w:val="-5"/>
              </w:rPr>
              <w:t>Job</w:t>
            </w:r>
            <w:r w:rsidRPr="009766D4">
              <w:rPr>
                <w:rFonts w:ascii="Arial" w:hAnsi="Arial" w:cs="Arial"/>
                <w:b/>
                <w:color w:val="EC7C30"/>
                <w:spacing w:val="-20"/>
              </w:rPr>
              <w:t xml:space="preserve"> </w:t>
            </w:r>
            <w:r w:rsidRPr="009766D4">
              <w:rPr>
                <w:rFonts w:ascii="Arial" w:hAnsi="Arial" w:cs="Arial"/>
                <w:b/>
                <w:color w:val="EC7C30"/>
                <w:spacing w:val="-2"/>
              </w:rPr>
              <w:t>title</w:t>
            </w:r>
          </w:p>
        </w:tc>
        <w:tc>
          <w:tcPr>
            <w:tcW w:w="2670" w:type="dxa"/>
          </w:tcPr>
          <w:p w14:paraId="6E92089A" w14:textId="2765A30A" w:rsidR="00F517F7" w:rsidRPr="009766D4" w:rsidRDefault="00726EBD">
            <w:pPr>
              <w:pStyle w:val="TableParagraph"/>
              <w:spacing w:line="264" w:lineRule="exact"/>
              <w:ind w:right="43"/>
              <w:rPr>
                <w:rFonts w:ascii="Arial" w:hAnsi="Arial" w:cs="Arial"/>
              </w:rPr>
            </w:pPr>
            <w:r w:rsidRPr="009766D4">
              <w:rPr>
                <w:rFonts w:ascii="Arial" w:hAnsi="Arial" w:cs="Arial"/>
              </w:rPr>
              <w:t>Marketing</w:t>
            </w:r>
            <w:r w:rsidR="001411E8" w:rsidRPr="009766D4">
              <w:rPr>
                <w:rFonts w:ascii="Arial" w:hAnsi="Arial" w:cs="Arial"/>
              </w:rPr>
              <w:t xml:space="preserve"> Coordinator</w:t>
            </w:r>
          </w:p>
        </w:tc>
        <w:tc>
          <w:tcPr>
            <w:tcW w:w="2245" w:type="dxa"/>
            <w:shd w:val="clear" w:color="auto" w:fill="D9D9D9" w:themeFill="background1" w:themeFillShade="D9"/>
          </w:tcPr>
          <w:p w14:paraId="6E92089B" w14:textId="6C94D831" w:rsidR="00F517F7" w:rsidRPr="009766D4" w:rsidRDefault="00362A0D">
            <w:pPr>
              <w:pStyle w:val="TableParagraph"/>
              <w:spacing w:before="3"/>
              <w:ind w:left="106"/>
              <w:rPr>
                <w:rFonts w:ascii="Arial" w:hAnsi="Arial" w:cs="Arial"/>
                <w:b/>
              </w:rPr>
            </w:pPr>
            <w:r w:rsidRPr="009766D4">
              <w:rPr>
                <w:rFonts w:ascii="Arial" w:hAnsi="Arial" w:cs="Arial"/>
                <w:b/>
                <w:color w:val="EC7C30"/>
                <w:spacing w:val="-2"/>
              </w:rPr>
              <w:t>Location</w:t>
            </w:r>
          </w:p>
        </w:tc>
        <w:tc>
          <w:tcPr>
            <w:tcW w:w="2214" w:type="dxa"/>
          </w:tcPr>
          <w:p w14:paraId="6E92089C" w14:textId="6797FA15" w:rsidR="00F517F7" w:rsidRPr="009766D4" w:rsidRDefault="00617B5E">
            <w:pPr>
              <w:pStyle w:val="TableParagraph"/>
              <w:spacing w:line="264" w:lineRule="exact"/>
              <w:ind w:left="106" w:right="980"/>
              <w:rPr>
                <w:rFonts w:ascii="Arial" w:hAnsi="Arial" w:cs="Arial"/>
              </w:rPr>
            </w:pPr>
            <w:r w:rsidRPr="009766D4">
              <w:rPr>
                <w:rFonts w:ascii="Arial" w:hAnsi="Arial" w:cs="Arial"/>
              </w:rPr>
              <w:t xml:space="preserve">Office based / Hybrid </w:t>
            </w:r>
          </w:p>
        </w:tc>
      </w:tr>
      <w:tr w:rsidR="00F517F7" w:rsidRPr="009766D4" w14:paraId="6E9208A3" w14:textId="77777777" w:rsidTr="001411E8">
        <w:trPr>
          <w:trHeight w:val="724"/>
        </w:trPr>
        <w:tc>
          <w:tcPr>
            <w:tcW w:w="2225" w:type="dxa"/>
            <w:shd w:val="clear" w:color="auto" w:fill="E4E4E4"/>
          </w:tcPr>
          <w:p w14:paraId="1746C3AF" w14:textId="77777777" w:rsidR="00F517F7" w:rsidRPr="009766D4" w:rsidRDefault="00362A0D">
            <w:pPr>
              <w:pStyle w:val="TableParagraph"/>
              <w:rPr>
                <w:rFonts w:ascii="Arial" w:hAnsi="Arial" w:cs="Arial"/>
                <w:b/>
                <w:color w:val="EC7C30"/>
                <w:spacing w:val="-2"/>
              </w:rPr>
            </w:pPr>
            <w:r w:rsidRPr="009766D4">
              <w:rPr>
                <w:rFonts w:ascii="Arial" w:hAnsi="Arial" w:cs="Arial"/>
                <w:b/>
                <w:color w:val="EC7C30"/>
                <w:spacing w:val="-2"/>
              </w:rPr>
              <w:t>Department</w:t>
            </w:r>
          </w:p>
          <w:p w14:paraId="6E92089E" w14:textId="77777777" w:rsidR="001411E8" w:rsidRPr="009766D4" w:rsidRDefault="001411E8" w:rsidP="001411E8">
            <w:pPr>
              <w:rPr>
                <w:rFonts w:ascii="Arial" w:hAnsi="Arial" w:cs="Arial"/>
              </w:rPr>
            </w:pPr>
          </w:p>
        </w:tc>
        <w:tc>
          <w:tcPr>
            <w:tcW w:w="2670" w:type="dxa"/>
          </w:tcPr>
          <w:p w14:paraId="1E7AC837" w14:textId="77777777" w:rsidR="001411E8" w:rsidRPr="009766D4" w:rsidRDefault="001411E8">
            <w:pPr>
              <w:pStyle w:val="TableParagraph"/>
              <w:spacing w:line="238" w:lineRule="exact"/>
              <w:rPr>
                <w:rFonts w:ascii="Arial" w:hAnsi="Arial" w:cs="Arial"/>
              </w:rPr>
            </w:pPr>
          </w:p>
          <w:p w14:paraId="6E9208A0" w14:textId="71BA988A" w:rsidR="00F517F7" w:rsidRPr="009766D4" w:rsidRDefault="001411E8">
            <w:pPr>
              <w:pStyle w:val="TableParagraph"/>
              <w:spacing w:line="238" w:lineRule="exact"/>
              <w:rPr>
                <w:rFonts w:ascii="Arial" w:hAnsi="Arial" w:cs="Arial"/>
              </w:rPr>
            </w:pPr>
            <w:r w:rsidRPr="009766D4">
              <w:rPr>
                <w:rFonts w:ascii="Arial" w:hAnsi="Arial" w:cs="Arial"/>
              </w:rPr>
              <w:t xml:space="preserve">Advice Services </w:t>
            </w:r>
          </w:p>
        </w:tc>
        <w:tc>
          <w:tcPr>
            <w:tcW w:w="2245" w:type="dxa"/>
            <w:shd w:val="clear" w:color="auto" w:fill="D9D9D9" w:themeFill="background1" w:themeFillShade="D9"/>
          </w:tcPr>
          <w:p w14:paraId="2445B276" w14:textId="77777777" w:rsidR="00F517F7" w:rsidRPr="009766D4" w:rsidRDefault="00362A0D">
            <w:pPr>
              <w:pStyle w:val="TableParagraph"/>
              <w:ind w:left="106"/>
              <w:rPr>
                <w:rFonts w:ascii="Arial" w:hAnsi="Arial" w:cs="Arial"/>
                <w:b/>
                <w:color w:val="EC7C30"/>
                <w:spacing w:val="-2"/>
                <w:w w:val="90"/>
              </w:rPr>
            </w:pPr>
            <w:r w:rsidRPr="009766D4">
              <w:rPr>
                <w:rFonts w:ascii="Arial" w:hAnsi="Arial" w:cs="Arial"/>
                <w:b/>
                <w:color w:val="EC7C30"/>
                <w:w w:val="90"/>
              </w:rPr>
              <w:t>Length</w:t>
            </w:r>
            <w:r w:rsidRPr="009766D4">
              <w:rPr>
                <w:rFonts w:ascii="Arial" w:hAnsi="Arial" w:cs="Arial"/>
                <w:b/>
                <w:color w:val="EC7C30"/>
                <w:spacing w:val="-13"/>
                <w:w w:val="90"/>
              </w:rPr>
              <w:t xml:space="preserve"> </w:t>
            </w:r>
            <w:r w:rsidRPr="009766D4">
              <w:rPr>
                <w:rFonts w:ascii="Arial" w:hAnsi="Arial" w:cs="Arial"/>
                <w:b/>
                <w:color w:val="EC7C30"/>
                <w:w w:val="90"/>
              </w:rPr>
              <w:t>of</w:t>
            </w:r>
            <w:r w:rsidRPr="009766D4">
              <w:rPr>
                <w:rFonts w:ascii="Arial" w:hAnsi="Arial" w:cs="Arial"/>
                <w:b/>
                <w:color w:val="EC7C30"/>
                <w:spacing w:val="-11"/>
                <w:w w:val="90"/>
              </w:rPr>
              <w:t xml:space="preserve"> </w:t>
            </w:r>
            <w:r w:rsidRPr="009766D4">
              <w:rPr>
                <w:rFonts w:ascii="Arial" w:hAnsi="Arial" w:cs="Arial"/>
                <w:b/>
                <w:color w:val="EC7C30"/>
                <w:spacing w:val="-2"/>
                <w:w w:val="90"/>
              </w:rPr>
              <w:t>contract</w:t>
            </w:r>
          </w:p>
          <w:p w14:paraId="6E9208A1" w14:textId="77777777" w:rsidR="001411E8" w:rsidRPr="009766D4" w:rsidRDefault="001411E8" w:rsidP="001411E8">
            <w:pPr>
              <w:rPr>
                <w:rFonts w:ascii="Arial" w:hAnsi="Arial" w:cs="Arial"/>
              </w:rPr>
            </w:pPr>
          </w:p>
        </w:tc>
        <w:tc>
          <w:tcPr>
            <w:tcW w:w="2214" w:type="dxa"/>
          </w:tcPr>
          <w:p w14:paraId="6E9208A2" w14:textId="49F43822" w:rsidR="00F517F7" w:rsidRPr="009766D4" w:rsidRDefault="00726EBD">
            <w:pPr>
              <w:pStyle w:val="TableParagraph"/>
              <w:ind w:left="106" w:right="834"/>
              <w:rPr>
                <w:rFonts w:ascii="Arial" w:hAnsi="Arial" w:cs="Arial"/>
              </w:rPr>
            </w:pPr>
            <w:r w:rsidRPr="009766D4">
              <w:rPr>
                <w:rFonts w:ascii="Arial" w:hAnsi="Arial" w:cs="Arial"/>
                <w:spacing w:val="-2"/>
              </w:rPr>
              <w:t>Permanent</w:t>
            </w:r>
          </w:p>
        </w:tc>
      </w:tr>
      <w:tr w:rsidR="00F517F7" w:rsidRPr="009766D4" w14:paraId="6E9208AD" w14:textId="77777777" w:rsidTr="43C100B7">
        <w:trPr>
          <w:trHeight w:val="527"/>
        </w:trPr>
        <w:tc>
          <w:tcPr>
            <w:tcW w:w="2225" w:type="dxa"/>
            <w:shd w:val="clear" w:color="auto" w:fill="E4E4E4"/>
          </w:tcPr>
          <w:p w14:paraId="6E9208A9" w14:textId="1F803E18" w:rsidR="00F517F7" w:rsidRPr="009766D4" w:rsidRDefault="00617B5E">
            <w:pPr>
              <w:pStyle w:val="TableParagraph"/>
              <w:rPr>
                <w:rFonts w:ascii="Arial" w:hAnsi="Arial" w:cs="Arial"/>
                <w:b/>
              </w:rPr>
            </w:pPr>
            <w:r w:rsidRPr="009766D4">
              <w:rPr>
                <w:rFonts w:ascii="Arial" w:hAnsi="Arial" w:cs="Arial"/>
                <w:b/>
                <w:color w:val="EC7C30"/>
                <w:w w:val="90"/>
              </w:rPr>
              <w:t>Outreach Work Required</w:t>
            </w:r>
          </w:p>
        </w:tc>
        <w:tc>
          <w:tcPr>
            <w:tcW w:w="2670" w:type="dxa"/>
          </w:tcPr>
          <w:p w14:paraId="6E9208AA" w14:textId="7C64CBD5" w:rsidR="00F517F7" w:rsidRPr="009766D4" w:rsidRDefault="00726EBD">
            <w:pPr>
              <w:pStyle w:val="TableParagraph"/>
              <w:spacing w:line="264" w:lineRule="exact"/>
              <w:ind w:right="43"/>
              <w:rPr>
                <w:rFonts w:ascii="Arial" w:hAnsi="Arial" w:cs="Arial"/>
              </w:rPr>
            </w:pPr>
            <w:r w:rsidRPr="009766D4">
              <w:rPr>
                <w:rFonts w:ascii="Arial" w:hAnsi="Arial" w:cs="Arial"/>
                <w:spacing w:val="-4"/>
              </w:rPr>
              <w:t>Yes – on-site events</w:t>
            </w:r>
          </w:p>
        </w:tc>
        <w:tc>
          <w:tcPr>
            <w:tcW w:w="2245" w:type="dxa"/>
            <w:shd w:val="clear" w:color="auto" w:fill="D9D9D9" w:themeFill="background1" w:themeFillShade="D9"/>
          </w:tcPr>
          <w:p w14:paraId="6E9208AB" w14:textId="77777777" w:rsidR="00F517F7" w:rsidRPr="009766D4" w:rsidRDefault="00362A0D">
            <w:pPr>
              <w:pStyle w:val="TableParagraph"/>
              <w:ind w:left="106"/>
              <w:rPr>
                <w:rFonts w:ascii="Arial" w:hAnsi="Arial" w:cs="Arial"/>
                <w:b/>
              </w:rPr>
            </w:pPr>
            <w:r w:rsidRPr="009766D4">
              <w:rPr>
                <w:rFonts w:ascii="Arial" w:hAnsi="Arial" w:cs="Arial"/>
                <w:b/>
                <w:color w:val="EC7C30"/>
                <w:spacing w:val="2"/>
                <w:w w:val="85"/>
              </w:rPr>
              <w:t>Safeguarding</w:t>
            </w:r>
            <w:r w:rsidRPr="009766D4">
              <w:rPr>
                <w:rFonts w:ascii="Arial" w:hAnsi="Arial" w:cs="Arial"/>
                <w:b/>
                <w:color w:val="EC7C30"/>
                <w:spacing w:val="9"/>
              </w:rPr>
              <w:t xml:space="preserve"> </w:t>
            </w:r>
            <w:r w:rsidRPr="009766D4">
              <w:rPr>
                <w:rFonts w:ascii="Arial" w:hAnsi="Arial" w:cs="Arial"/>
                <w:b/>
                <w:color w:val="EC7C30"/>
                <w:spacing w:val="-4"/>
              </w:rPr>
              <w:t>level</w:t>
            </w:r>
          </w:p>
        </w:tc>
        <w:tc>
          <w:tcPr>
            <w:tcW w:w="2214" w:type="dxa"/>
          </w:tcPr>
          <w:p w14:paraId="6E9208AC" w14:textId="28FC3FA6" w:rsidR="00F517F7" w:rsidRPr="009766D4" w:rsidRDefault="00BD277E">
            <w:pPr>
              <w:pStyle w:val="TableParagraph"/>
              <w:ind w:left="106"/>
              <w:rPr>
                <w:rFonts w:ascii="Arial" w:hAnsi="Arial" w:cs="Arial"/>
              </w:rPr>
            </w:pPr>
            <w:r w:rsidRPr="009766D4">
              <w:rPr>
                <w:rFonts w:ascii="Arial" w:hAnsi="Arial" w:cs="Arial"/>
                <w:spacing w:val="-5"/>
              </w:rPr>
              <w:t>TBC</w:t>
            </w:r>
          </w:p>
        </w:tc>
      </w:tr>
      <w:tr w:rsidR="00F517F7" w:rsidRPr="009766D4" w14:paraId="6E9208B3" w14:textId="77777777" w:rsidTr="43C100B7">
        <w:trPr>
          <w:trHeight w:val="790"/>
        </w:trPr>
        <w:tc>
          <w:tcPr>
            <w:tcW w:w="2225" w:type="dxa"/>
            <w:shd w:val="clear" w:color="auto" w:fill="E4E4E4"/>
          </w:tcPr>
          <w:p w14:paraId="6E9208AE" w14:textId="77777777" w:rsidR="00F517F7" w:rsidRPr="009766D4" w:rsidRDefault="00362A0D">
            <w:pPr>
              <w:pStyle w:val="TableParagraph"/>
              <w:spacing w:line="265" w:lineRule="exact"/>
              <w:rPr>
                <w:rFonts w:ascii="Arial" w:hAnsi="Arial" w:cs="Arial"/>
                <w:b/>
              </w:rPr>
            </w:pPr>
            <w:r w:rsidRPr="009766D4">
              <w:rPr>
                <w:rFonts w:ascii="Arial" w:hAnsi="Arial" w:cs="Arial"/>
                <w:b/>
                <w:color w:val="EC7C30"/>
                <w:w w:val="85"/>
              </w:rPr>
              <w:t>Reporting</w:t>
            </w:r>
            <w:r w:rsidRPr="009766D4">
              <w:rPr>
                <w:rFonts w:ascii="Arial" w:hAnsi="Arial" w:cs="Arial"/>
                <w:b/>
                <w:color w:val="EC7C30"/>
                <w:spacing w:val="8"/>
              </w:rPr>
              <w:t xml:space="preserve"> </w:t>
            </w:r>
            <w:r w:rsidRPr="009766D4">
              <w:rPr>
                <w:rFonts w:ascii="Arial" w:hAnsi="Arial" w:cs="Arial"/>
                <w:b/>
                <w:color w:val="EC7C30"/>
                <w:spacing w:val="-5"/>
              </w:rPr>
              <w:t>to</w:t>
            </w:r>
          </w:p>
        </w:tc>
        <w:tc>
          <w:tcPr>
            <w:tcW w:w="2670" w:type="dxa"/>
          </w:tcPr>
          <w:p w14:paraId="6E9208B0" w14:textId="3F20F6F9" w:rsidR="00F517F7" w:rsidRPr="009766D4" w:rsidRDefault="00726EBD">
            <w:pPr>
              <w:pStyle w:val="TableParagraph"/>
              <w:spacing w:line="264" w:lineRule="exact"/>
              <w:ind w:right="43"/>
              <w:rPr>
                <w:rFonts w:ascii="Arial" w:hAnsi="Arial" w:cs="Arial"/>
              </w:rPr>
            </w:pPr>
            <w:r w:rsidRPr="009766D4">
              <w:rPr>
                <w:rFonts w:ascii="Arial" w:hAnsi="Arial" w:cs="Arial"/>
                <w:spacing w:val="-6"/>
              </w:rPr>
              <w:t xml:space="preserve">Deputy Director, Advice Services </w:t>
            </w:r>
          </w:p>
        </w:tc>
        <w:tc>
          <w:tcPr>
            <w:tcW w:w="2245" w:type="dxa"/>
            <w:shd w:val="clear" w:color="auto" w:fill="D9D9D9" w:themeFill="background1" w:themeFillShade="D9"/>
          </w:tcPr>
          <w:p w14:paraId="6E9208B1" w14:textId="77777777" w:rsidR="00F517F7" w:rsidRPr="009766D4" w:rsidRDefault="00362A0D">
            <w:pPr>
              <w:pStyle w:val="TableParagraph"/>
              <w:spacing w:line="265" w:lineRule="exact"/>
              <w:ind w:left="106"/>
              <w:rPr>
                <w:rFonts w:ascii="Arial" w:hAnsi="Arial" w:cs="Arial"/>
                <w:b/>
              </w:rPr>
            </w:pPr>
            <w:r w:rsidRPr="009766D4">
              <w:rPr>
                <w:rFonts w:ascii="Arial" w:hAnsi="Arial" w:cs="Arial"/>
                <w:b/>
                <w:color w:val="EC7C30"/>
                <w:w w:val="85"/>
              </w:rPr>
              <w:t>Direct</w:t>
            </w:r>
            <w:r w:rsidRPr="009766D4">
              <w:rPr>
                <w:rFonts w:ascii="Arial" w:hAnsi="Arial" w:cs="Arial"/>
                <w:b/>
                <w:color w:val="EC7C30"/>
                <w:spacing w:val="6"/>
              </w:rPr>
              <w:t xml:space="preserve"> </w:t>
            </w:r>
            <w:r w:rsidRPr="009766D4">
              <w:rPr>
                <w:rFonts w:ascii="Arial" w:hAnsi="Arial" w:cs="Arial"/>
                <w:b/>
                <w:color w:val="EC7C30"/>
                <w:spacing w:val="-2"/>
              </w:rPr>
              <w:t>reports</w:t>
            </w:r>
          </w:p>
        </w:tc>
        <w:tc>
          <w:tcPr>
            <w:tcW w:w="2214" w:type="dxa"/>
          </w:tcPr>
          <w:p w14:paraId="6E9208B2" w14:textId="05B1F314" w:rsidR="00F517F7" w:rsidRPr="009766D4" w:rsidRDefault="001411E8">
            <w:pPr>
              <w:pStyle w:val="TableParagraph"/>
              <w:spacing w:line="265" w:lineRule="exact"/>
              <w:ind w:left="106"/>
              <w:rPr>
                <w:rFonts w:ascii="Arial" w:hAnsi="Arial" w:cs="Arial"/>
              </w:rPr>
            </w:pPr>
            <w:r w:rsidRPr="009766D4">
              <w:rPr>
                <w:rFonts w:ascii="Arial" w:hAnsi="Arial" w:cs="Arial"/>
                <w:spacing w:val="-2"/>
                <w:w w:val="110"/>
              </w:rPr>
              <w:t>None</w:t>
            </w:r>
          </w:p>
        </w:tc>
      </w:tr>
      <w:tr w:rsidR="00242BAE" w:rsidRPr="009766D4" w14:paraId="01E1D5E1" w14:textId="77777777" w:rsidTr="43C100B7">
        <w:trPr>
          <w:trHeight w:val="790"/>
        </w:trPr>
        <w:tc>
          <w:tcPr>
            <w:tcW w:w="2225" w:type="dxa"/>
            <w:shd w:val="clear" w:color="auto" w:fill="E4E4E4"/>
          </w:tcPr>
          <w:p w14:paraId="00C57918" w14:textId="61F6B760" w:rsidR="00242BAE" w:rsidRPr="009766D4" w:rsidRDefault="00242BAE">
            <w:pPr>
              <w:pStyle w:val="TableParagraph"/>
              <w:spacing w:line="265" w:lineRule="exact"/>
              <w:rPr>
                <w:rFonts w:ascii="Arial" w:hAnsi="Arial" w:cs="Arial"/>
                <w:b/>
                <w:color w:val="EC7C30"/>
                <w:w w:val="85"/>
              </w:rPr>
            </w:pPr>
            <w:r w:rsidRPr="009766D4">
              <w:rPr>
                <w:rFonts w:ascii="Arial" w:hAnsi="Arial" w:cs="Arial"/>
                <w:b/>
                <w:color w:val="EC7C30"/>
                <w:w w:val="85"/>
              </w:rPr>
              <w:t>Working Hours</w:t>
            </w:r>
          </w:p>
        </w:tc>
        <w:tc>
          <w:tcPr>
            <w:tcW w:w="2670" w:type="dxa"/>
          </w:tcPr>
          <w:p w14:paraId="32C35008" w14:textId="7D316CB1" w:rsidR="00242BAE" w:rsidRPr="009766D4" w:rsidRDefault="001411E8">
            <w:pPr>
              <w:pStyle w:val="TableParagraph"/>
              <w:spacing w:line="264" w:lineRule="exact"/>
              <w:rPr>
                <w:rFonts w:ascii="Arial" w:hAnsi="Arial" w:cs="Arial"/>
                <w:spacing w:val="-6"/>
              </w:rPr>
            </w:pPr>
            <w:r w:rsidRPr="009766D4">
              <w:rPr>
                <w:rFonts w:ascii="Arial" w:hAnsi="Arial" w:cs="Arial"/>
                <w:spacing w:val="-6"/>
              </w:rPr>
              <w:t xml:space="preserve">35 hours / </w:t>
            </w:r>
            <w:proofErr w:type="spellStart"/>
            <w:r w:rsidRPr="009766D4">
              <w:rPr>
                <w:rFonts w:ascii="Arial" w:hAnsi="Arial" w:cs="Arial"/>
                <w:spacing w:val="-6"/>
              </w:rPr>
              <w:t>wk</w:t>
            </w:r>
            <w:proofErr w:type="spellEnd"/>
          </w:p>
        </w:tc>
        <w:tc>
          <w:tcPr>
            <w:tcW w:w="2245" w:type="dxa"/>
            <w:shd w:val="clear" w:color="auto" w:fill="D9D9D9" w:themeFill="background1" w:themeFillShade="D9"/>
          </w:tcPr>
          <w:p w14:paraId="09E2133C" w14:textId="0F891592" w:rsidR="00242BAE" w:rsidRPr="009766D4" w:rsidRDefault="00242BAE">
            <w:pPr>
              <w:pStyle w:val="TableParagraph"/>
              <w:spacing w:line="265" w:lineRule="exact"/>
              <w:ind w:left="106"/>
              <w:rPr>
                <w:rFonts w:ascii="Arial" w:hAnsi="Arial" w:cs="Arial"/>
                <w:b/>
                <w:color w:val="EC7C30"/>
                <w:w w:val="85"/>
              </w:rPr>
            </w:pPr>
            <w:r w:rsidRPr="009766D4">
              <w:rPr>
                <w:rFonts w:ascii="Arial" w:hAnsi="Arial" w:cs="Arial"/>
                <w:b/>
                <w:color w:val="EC7C30"/>
                <w:w w:val="85"/>
              </w:rPr>
              <w:t>Working Pattern</w:t>
            </w:r>
          </w:p>
        </w:tc>
        <w:tc>
          <w:tcPr>
            <w:tcW w:w="2214" w:type="dxa"/>
          </w:tcPr>
          <w:p w14:paraId="410898FC" w14:textId="42A55411" w:rsidR="00242BAE" w:rsidRPr="009766D4" w:rsidRDefault="001411E8">
            <w:pPr>
              <w:pStyle w:val="TableParagraph"/>
              <w:spacing w:line="265" w:lineRule="exact"/>
              <w:ind w:left="106"/>
              <w:rPr>
                <w:rFonts w:ascii="Arial" w:hAnsi="Arial" w:cs="Arial"/>
                <w:spacing w:val="-2"/>
                <w:w w:val="110"/>
              </w:rPr>
            </w:pPr>
            <w:r w:rsidRPr="009766D4">
              <w:rPr>
                <w:rFonts w:ascii="Arial" w:hAnsi="Arial" w:cs="Arial"/>
                <w:spacing w:val="-2"/>
                <w:w w:val="110"/>
              </w:rPr>
              <w:t xml:space="preserve">Mon-Fri 9am-5pm Full </w:t>
            </w:r>
            <w:r w:rsidR="00726EBD" w:rsidRPr="009766D4">
              <w:rPr>
                <w:rFonts w:ascii="Arial" w:hAnsi="Arial" w:cs="Arial"/>
                <w:spacing w:val="-2"/>
                <w:w w:val="110"/>
              </w:rPr>
              <w:t>Time</w:t>
            </w:r>
          </w:p>
        </w:tc>
      </w:tr>
    </w:tbl>
    <w:p w14:paraId="6E9208B4" w14:textId="77777777" w:rsidR="00F517F7" w:rsidRPr="009766D4" w:rsidRDefault="00F517F7">
      <w:pPr>
        <w:pStyle w:val="BodyText"/>
        <w:spacing w:before="180"/>
        <w:rPr>
          <w:rFonts w:ascii="Arial" w:hAnsi="Arial" w:cs="Arial"/>
          <w:b/>
        </w:rPr>
      </w:pPr>
    </w:p>
    <w:p w14:paraId="6E9208B5" w14:textId="132E64C7" w:rsidR="00F517F7" w:rsidRPr="009766D4" w:rsidRDefault="00A7788A" w:rsidP="30F15537">
      <w:pPr>
        <w:pStyle w:val="Heading3"/>
        <w:spacing w:before="175"/>
        <w:ind w:left="0"/>
        <w:rPr>
          <w:rFonts w:ascii="Arial" w:hAnsi="Arial" w:cs="Arial"/>
          <w:color w:val="EC7C30"/>
          <w:spacing w:val="-2"/>
        </w:rPr>
      </w:pPr>
      <w:r w:rsidRPr="009766D4">
        <w:rPr>
          <w:rFonts w:ascii="Arial" w:hAnsi="Arial" w:cs="Arial"/>
          <w:color w:val="EC7C30"/>
          <w:spacing w:val="-2"/>
        </w:rPr>
        <w:t>About Toynbee Hall</w:t>
      </w:r>
    </w:p>
    <w:p w14:paraId="099A968F" w14:textId="77777777" w:rsidR="00A7788A" w:rsidRPr="009766D4" w:rsidRDefault="00A7788A" w:rsidP="00A7788A">
      <w:pPr>
        <w:pStyle w:val="Heading3"/>
        <w:ind w:left="0"/>
        <w:rPr>
          <w:rFonts w:ascii="Arial" w:hAnsi="Arial" w:cs="Arial"/>
        </w:rPr>
      </w:pPr>
    </w:p>
    <w:p w14:paraId="354EB8E8" w14:textId="77777777" w:rsidR="00A7788A" w:rsidRPr="009766D4" w:rsidRDefault="00A7788A" w:rsidP="00A7788A">
      <w:pPr>
        <w:rPr>
          <w:rFonts w:ascii="Arial" w:eastAsiaTheme="minorHAnsi" w:hAnsi="Arial" w:cs="Arial"/>
        </w:rPr>
      </w:pPr>
      <w:r w:rsidRPr="009766D4">
        <w:rPr>
          <w:rFonts w:ascii="Arial" w:hAnsi="Arial" w:cs="Arial"/>
        </w:rPr>
        <w:t xml:space="preserve">Based in the East End of London since 1884, Toynbee Hall is a charity working alongside people facing poverty, injustice, and inequality to build a fairer East London. We provide vital advice and support, working in partnership to tackle unfairness and ensure everyone has an equal chance to thrive. </w:t>
      </w:r>
    </w:p>
    <w:p w14:paraId="28186D35" w14:textId="77777777" w:rsidR="00A7788A" w:rsidRPr="009766D4" w:rsidRDefault="00A7788A" w:rsidP="00A7788A">
      <w:pPr>
        <w:rPr>
          <w:rFonts w:ascii="Arial" w:hAnsi="Arial" w:cs="Arial"/>
          <w14:ligatures w14:val="standardContextual"/>
        </w:rPr>
      </w:pPr>
    </w:p>
    <w:p w14:paraId="4C224453" w14:textId="77777777" w:rsidR="00A7788A" w:rsidRPr="009766D4" w:rsidRDefault="00A7788A" w:rsidP="00A7788A">
      <w:pPr>
        <w:rPr>
          <w:rFonts w:ascii="Arial" w:hAnsi="Arial" w:cs="Arial"/>
        </w:rPr>
      </w:pPr>
      <w:r w:rsidRPr="009766D4">
        <w:rPr>
          <w:rFonts w:ascii="Arial" w:hAnsi="Arial" w:cs="Arial"/>
        </w:rPr>
        <w:t xml:space="preserve">We have recently launched a new strategic plan which reinforces that our purpose is to build a fairer future with an end to poverty, injustice and inequality. </w:t>
      </w:r>
    </w:p>
    <w:p w14:paraId="59A3F539" w14:textId="77777777" w:rsidR="00A7788A" w:rsidRPr="009766D4" w:rsidRDefault="00A7788A" w:rsidP="00A7788A">
      <w:pPr>
        <w:rPr>
          <w:rFonts w:ascii="Arial" w:hAnsi="Arial" w:cs="Arial"/>
        </w:rPr>
      </w:pPr>
      <w:r w:rsidRPr="009766D4">
        <w:rPr>
          <w:rFonts w:ascii="Arial" w:hAnsi="Arial" w:cs="Arial"/>
        </w:rPr>
        <w:t xml:space="preserve">We work towards this by: </w:t>
      </w:r>
    </w:p>
    <w:p w14:paraId="02037A15" w14:textId="77777777" w:rsidR="00A7788A" w:rsidRPr="009766D4" w:rsidRDefault="00A7788A" w:rsidP="00A7788A">
      <w:pPr>
        <w:pStyle w:val="ListParagraph"/>
        <w:widowControl/>
        <w:numPr>
          <w:ilvl w:val="0"/>
          <w:numId w:val="4"/>
        </w:numPr>
        <w:autoSpaceDE/>
        <w:autoSpaceDN/>
        <w:contextualSpacing/>
        <w:rPr>
          <w:rFonts w:ascii="Arial" w:eastAsia="Times New Roman" w:hAnsi="Arial" w:cs="Arial"/>
        </w:rPr>
      </w:pPr>
      <w:r w:rsidRPr="009766D4">
        <w:rPr>
          <w:rFonts w:ascii="Arial" w:eastAsia="Times New Roman" w:hAnsi="Arial" w:cs="Arial"/>
        </w:rPr>
        <w:t xml:space="preserve">Addressing poverty and injustice through advice and support and influencing systemic change. </w:t>
      </w:r>
    </w:p>
    <w:p w14:paraId="5A6F1A18" w14:textId="77777777" w:rsidR="00A7788A" w:rsidRPr="009766D4" w:rsidRDefault="00A7788A" w:rsidP="00A7788A">
      <w:pPr>
        <w:pStyle w:val="ListParagraph"/>
        <w:widowControl/>
        <w:numPr>
          <w:ilvl w:val="0"/>
          <w:numId w:val="4"/>
        </w:numPr>
        <w:autoSpaceDE/>
        <w:autoSpaceDN/>
        <w:contextualSpacing/>
        <w:rPr>
          <w:rFonts w:ascii="Arial" w:eastAsia="Times New Roman" w:hAnsi="Arial" w:cs="Arial"/>
        </w:rPr>
      </w:pPr>
      <w:r w:rsidRPr="009766D4">
        <w:rPr>
          <w:rFonts w:ascii="Arial" w:eastAsia="Times New Roman" w:hAnsi="Arial" w:cs="Arial"/>
        </w:rPr>
        <w:t>Shifting power to people and communities affected by injustice and inequality.</w:t>
      </w:r>
    </w:p>
    <w:p w14:paraId="7348F9D6" w14:textId="77777777" w:rsidR="00A7788A" w:rsidRPr="009766D4" w:rsidRDefault="00A7788A" w:rsidP="00A7788A">
      <w:pPr>
        <w:pStyle w:val="ListParagraph"/>
        <w:widowControl/>
        <w:numPr>
          <w:ilvl w:val="0"/>
          <w:numId w:val="4"/>
        </w:numPr>
        <w:autoSpaceDE/>
        <w:autoSpaceDN/>
        <w:contextualSpacing/>
        <w:rPr>
          <w:rFonts w:ascii="Arial" w:eastAsia="Times New Roman" w:hAnsi="Arial" w:cs="Arial"/>
        </w:rPr>
      </w:pPr>
      <w:r w:rsidRPr="009766D4">
        <w:rPr>
          <w:rFonts w:ascii="Arial" w:eastAsia="Times New Roman" w:hAnsi="Arial" w:cs="Arial"/>
        </w:rPr>
        <w:t xml:space="preserve">Collaborating to end poverty and build fairer systems and institutions. What we want to see in the world starts with our community and our </w:t>
      </w:r>
      <w:proofErr w:type="spellStart"/>
      <w:r w:rsidRPr="009766D4">
        <w:rPr>
          <w:rFonts w:ascii="Arial" w:eastAsia="Times New Roman" w:hAnsi="Arial" w:cs="Arial"/>
        </w:rPr>
        <w:t>organisation</w:t>
      </w:r>
      <w:proofErr w:type="spellEnd"/>
      <w:r w:rsidRPr="009766D4">
        <w:rPr>
          <w:rFonts w:ascii="Arial" w:eastAsia="Times New Roman" w:hAnsi="Arial" w:cs="Arial"/>
        </w:rPr>
        <w:t xml:space="preserve">. </w:t>
      </w:r>
    </w:p>
    <w:p w14:paraId="51A585E5" w14:textId="77777777" w:rsidR="00A7788A" w:rsidRPr="009766D4" w:rsidRDefault="00A7788A" w:rsidP="00A7788A">
      <w:pPr>
        <w:rPr>
          <w:rFonts w:ascii="Arial" w:eastAsiaTheme="minorHAnsi" w:hAnsi="Arial" w:cs="Arial"/>
        </w:rPr>
      </w:pPr>
    </w:p>
    <w:p w14:paraId="560E8578" w14:textId="77777777" w:rsidR="00A7788A" w:rsidRPr="009766D4" w:rsidRDefault="00A7788A" w:rsidP="00A7788A">
      <w:pPr>
        <w:rPr>
          <w:rFonts w:ascii="Arial" w:hAnsi="Arial" w:cs="Arial"/>
        </w:rPr>
      </w:pPr>
      <w:r w:rsidRPr="009766D4">
        <w:rPr>
          <w:rFonts w:ascii="Arial" w:hAnsi="Arial" w:cs="Arial"/>
        </w:rPr>
        <w:t xml:space="preserve">This means: </w:t>
      </w:r>
    </w:p>
    <w:p w14:paraId="06234049" w14:textId="77777777" w:rsidR="00A7788A" w:rsidRPr="009766D4" w:rsidRDefault="00A7788A" w:rsidP="00A7788A">
      <w:pPr>
        <w:pStyle w:val="ListParagraph"/>
        <w:widowControl/>
        <w:numPr>
          <w:ilvl w:val="0"/>
          <w:numId w:val="4"/>
        </w:numPr>
        <w:autoSpaceDE/>
        <w:autoSpaceDN/>
        <w:contextualSpacing/>
        <w:rPr>
          <w:rFonts w:ascii="Arial" w:eastAsia="Times New Roman" w:hAnsi="Arial" w:cs="Arial"/>
        </w:rPr>
      </w:pPr>
      <w:r w:rsidRPr="009766D4">
        <w:rPr>
          <w:rFonts w:ascii="Arial" w:eastAsia="Times New Roman" w:hAnsi="Arial" w:cs="Arial"/>
        </w:rPr>
        <w:t xml:space="preserve">Working together to build a thriving local community where people have the resources they need, feel their voices are heard and are optimistic about the future. </w:t>
      </w:r>
    </w:p>
    <w:p w14:paraId="1165F562" w14:textId="77777777" w:rsidR="00A7788A" w:rsidRPr="009766D4" w:rsidRDefault="00A7788A" w:rsidP="00A7788A">
      <w:pPr>
        <w:pStyle w:val="ListParagraph"/>
        <w:widowControl/>
        <w:numPr>
          <w:ilvl w:val="0"/>
          <w:numId w:val="4"/>
        </w:numPr>
        <w:autoSpaceDE/>
        <w:autoSpaceDN/>
        <w:contextualSpacing/>
        <w:rPr>
          <w:rFonts w:ascii="Arial" w:eastAsia="Times New Roman" w:hAnsi="Arial" w:cs="Arial"/>
        </w:rPr>
      </w:pPr>
      <w:r w:rsidRPr="009766D4">
        <w:rPr>
          <w:rFonts w:ascii="Arial" w:eastAsia="Times New Roman" w:hAnsi="Arial" w:cs="Arial"/>
        </w:rPr>
        <w:t xml:space="preserve">Being a good employer, where people are treated fairly, feel engaged and empowered, and work together to achieve our shared vision. </w:t>
      </w:r>
    </w:p>
    <w:p w14:paraId="0F83614F" w14:textId="20833173" w:rsidR="00A7788A" w:rsidRPr="009766D4" w:rsidRDefault="00A7788A" w:rsidP="5CC5646F">
      <w:pPr>
        <w:pStyle w:val="ListParagraph"/>
        <w:widowControl/>
        <w:numPr>
          <w:ilvl w:val="0"/>
          <w:numId w:val="4"/>
        </w:numPr>
        <w:autoSpaceDE/>
        <w:autoSpaceDN/>
        <w:contextualSpacing/>
        <w:rPr>
          <w:rFonts w:ascii="Arial" w:eastAsia="Times New Roman" w:hAnsi="Arial" w:cs="Arial"/>
        </w:rPr>
      </w:pPr>
      <w:r w:rsidRPr="009766D4">
        <w:rPr>
          <w:rFonts w:ascii="Arial" w:eastAsia="Times New Roman" w:hAnsi="Arial" w:cs="Arial"/>
        </w:rPr>
        <w:t xml:space="preserve">Acknowledging the role Toynbee Hall has </w:t>
      </w:r>
      <w:r w:rsidR="00FC2B35" w:rsidRPr="009766D4">
        <w:rPr>
          <w:rFonts w:ascii="Arial" w:eastAsia="Times New Roman" w:hAnsi="Arial" w:cs="Arial"/>
        </w:rPr>
        <w:t xml:space="preserve">historically </w:t>
      </w:r>
      <w:r w:rsidRPr="009766D4">
        <w:rPr>
          <w:rFonts w:ascii="Arial" w:eastAsia="Times New Roman" w:hAnsi="Arial" w:cs="Arial"/>
        </w:rPr>
        <w:t xml:space="preserve">played in civic society while </w:t>
      </w:r>
      <w:proofErr w:type="spellStart"/>
      <w:r w:rsidRPr="009766D4">
        <w:rPr>
          <w:rFonts w:ascii="Arial" w:eastAsia="Times New Roman" w:hAnsi="Arial" w:cs="Arial"/>
        </w:rPr>
        <w:t>recognising</w:t>
      </w:r>
      <w:proofErr w:type="spellEnd"/>
      <w:r w:rsidRPr="009766D4">
        <w:rPr>
          <w:rFonts w:ascii="Arial" w:eastAsia="Times New Roman" w:hAnsi="Arial" w:cs="Arial"/>
        </w:rPr>
        <w:t xml:space="preserve"> that our role now is to shift power, to be an effective partner, and to amplify voices that are less likely to be heard. </w:t>
      </w:r>
    </w:p>
    <w:p w14:paraId="3E38C9B9" w14:textId="77777777" w:rsidR="00A7788A" w:rsidRPr="009766D4" w:rsidRDefault="00A7788A" w:rsidP="5CC5646F">
      <w:pPr>
        <w:rPr>
          <w:rFonts w:ascii="Arial" w:eastAsiaTheme="minorEastAsia" w:hAnsi="Arial" w:cs="Arial"/>
        </w:rPr>
      </w:pPr>
    </w:p>
    <w:p w14:paraId="2B8409CE" w14:textId="37BE0754" w:rsidR="00F517F7" w:rsidRPr="009766D4" w:rsidRDefault="00A7788A" w:rsidP="5CC5646F">
      <w:pPr>
        <w:spacing w:before="175"/>
        <w:rPr>
          <w:rFonts w:ascii="Arial" w:hAnsi="Arial" w:cs="Arial"/>
          <w:color w:val="EC7C30"/>
        </w:rPr>
      </w:pPr>
      <w:r w:rsidRPr="009766D4">
        <w:rPr>
          <w:rFonts w:ascii="Arial" w:hAnsi="Arial" w:cs="Arial"/>
        </w:rPr>
        <w:t>What we learn from our work in east London we use to inform and influence wider policy – working to influence change in structures, systems and policies.</w:t>
      </w:r>
    </w:p>
    <w:p w14:paraId="6E9208CB" w14:textId="48618364" w:rsidR="00F517F7" w:rsidRPr="009766D4" w:rsidRDefault="00257FAD" w:rsidP="5CC5646F">
      <w:pPr>
        <w:spacing w:before="175"/>
        <w:rPr>
          <w:rFonts w:ascii="Arial" w:hAnsi="Arial" w:cs="Arial"/>
          <w:color w:val="EC7C30"/>
        </w:rPr>
      </w:pPr>
      <w:r w:rsidRPr="009766D4">
        <w:rPr>
          <w:rFonts w:ascii="Arial" w:hAnsi="Arial" w:cs="Arial"/>
          <w:b/>
          <w:bCs/>
          <w:color w:val="EC7C30"/>
        </w:rPr>
        <w:t>Department background</w:t>
      </w:r>
    </w:p>
    <w:p w14:paraId="1EC24C51" w14:textId="77777777" w:rsidR="004A3C61" w:rsidRPr="009766D4" w:rsidRDefault="004A3C61" w:rsidP="004A3C61">
      <w:pPr>
        <w:tabs>
          <w:tab w:val="left" w:pos="820"/>
        </w:tabs>
        <w:spacing w:beforeLines="20" w:before="48" w:afterLines="20" w:after="48"/>
        <w:ind w:right="261"/>
        <w:rPr>
          <w:rFonts w:ascii="Arial" w:eastAsia="Arial" w:hAnsi="Arial" w:cs="Arial"/>
          <w:color w:val="000000" w:themeColor="text1"/>
        </w:rPr>
      </w:pPr>
      <w:r w:rsidRPr="009766D4">
        <w:rPr>
          <w:rFonts w:ascii="Arial" w:eastAsia="Arial" w:hAnsi="Arial" w:cs="Arial"/>
          <w:color w:val="000000" w:themeColor="text1"/>
        </w:rPr>
        <w:t xml:space="preserve">The Advice Services directorate at Toynbee Hall is central to our commitment to address and alleviate poverty in London and beyond. </w:t>
      </w:r>
      <w:proofErr w:type="spellStart"/>
      <w:r w:rsidRPr="009766D4">
        <w:rPr>
          <w:rFonts w:ascii="Arial" w:eastAsia="Arial" w:hAnsi="Arial" w:cs="Arial"/>
          <w:color w:val="000000" w:themeColor="text1"/>
        </w:rPr>
        <w:t>Specialising</w:t>
      </w:r>
      <w:proofErr w:type="spellEnd"/>
      <w:r w:rsidRPr="009766D4">
        <w:rPr>
          <w:rFonts w:ascii="Arial" w:eastAsia="Arial" w:hAnsi="Arial" w:cs="Arial"/>
          <w:color w:val="000000" w:themeColor="text1"/>
        </w:rPr>
        <w:t xml:space="preserve"> in debt, welfare benefits, legal support, </w:t>
      </w:r>
      <w:r w:rsidRPr="009766D4">
        <w:rPr>
          <w:rFonts w:ascii="Arial" w:eastAsia="Arial" w:hAnsi="Arial" w:cs="Arial"/>
          <w:color w:val="000000" w:themeColor="text1"/>
        </w:rPr>
        <w:lastRenderedPageBreak/>
        <w:t>and generalist advice, our directorate has proven instrumental in significantly enhancing the financial wellbeing of those we serve. Last year alone, our efforts helped individuals and families to be over £23 million better off, showcasing the direct impact of our work.</w:t>
      </w:r>
    </w:p>
    <w:p w14:paraId="1EF67CA5" w14:textId="77777777" w:rsidR="004A3C61" w:rsidRPr="009766D4" w:rsidRDefault="004A3C61" w:rsidP="004A3C61">
      <w:pPr>
        <w:tabs>
          <w:tab w:val="left" w:pos="820"/>
        </w:tabs>
        <w:spacing w:beforeLines="20" w:before="48" w:afterLines="20" w:after="48"/>
        <w:ind w:right="261"/>
        <w:rPr>
          <w:rFonts w:ascii="Arial" w:eastAsia="Arial" w:hAnsi="Arial" w:cs="Arial"/>
          <w:color w:val="000000" w:themeColor="text1"/>
        </w:rPr>
      </w:pPr>
    </w:p>
    <w:p w14:paraId="711888C6" w14:textId="77777777" w:rsidR="004A3C61" w:rsidRPr="009766D4" w:rsidRDefault="004A3C61" w:rsidP="004A3C61">
      <w:pPr>
        <w:tabs>
          <w:tab w:val="left" w:pos="820"/>
        </w:tabs>
        <w:spacing w:beforeLines="20" w:before="48" w:afterLines="20" w:after="48"/>
        <w:ind w:right="261"/>
        <w:rPr>
          <w:rFonts w:ascii="Arial" w:eastAsia="Arial" w:hAnsi="Arial" w:cs="Arial"/>
          <w:color w:val="000000" w:themeColor="text1"/>
        </w:rPr>
      </w:pPr>
      <w:r w:rsidRPr="009766D4">
        <w:rPr>
          <w:rFonts w:ascii="Arial" w:eastAsia="Arial" w:hAnsi="Arial" w:cs="Arial"/>
          <w:color w:val="000000" w:themeColor="text1"/>
        </w:rPr>
        <w:t xml:space="preserve">Our operational model combines direct service provision with a collaborative approach. We directly employ </w:t>
      </w:r>
      <w:proofErr w:type="gramStart"/>
      <w:r w:rsidRPr="009766D4">
        <w:rPr>
          <w:rFonts w:ascii="Arial" w:eastAsia="Arial" w:hAnsi="Arial" w:cs="Arial"/>
          <w:color w:val="000000" w:themeColor="text1"/>
        </w:rPr>
        <w:t>a number of</w:t>
      </w:r>
      <w:proofErr w:type="gramEnd"/>
      <w:r w:rsidRPr="009766D4">
        <w:rPr>
          <w:rFonts w:ascii="Arial" w:eastAsia="Arial" w:hAnsi="Arial" w:cs="Arial"/>
          <w:color w:val="000000" w:themeColor="text1"/>
        </w:rPr>
        <w:t xml:space="preserve"> advisors who deliver expert, impartial advice. Simultaneously, we lead a coalition of 15 partner charities—including local Citizens Advice Bureaus and law </w:t>
      </w:r>
      <w:proofErr w:type="spellStart"/>
      <w:r w:rsidRPr="009766D4">
        <w:rPr>
          <w:rFonts w:ascii="Arial" w:eastAsia="Arial" w:hAnsi="Arial" w:cs="Arial"/>
          <w:color w:val="000000" w:themeColor="text1"/>
        </w:rPr>
        <w:t>centres</w:t>
      </w:r>
      <w:proofErr w:type="spellEnd"/>
      <w:r w:rsidRPr="009766D4">
        <w:rPr>
          <w:rFonts w:ascii="Arial" w:eastAsia="Arial" w:hAnsi="Arial" w:cs="Arial"/>
          <w:color w:val="000000" w:themeColor="text1"/>
        </w:rPr>
        <w:t>—where additional advisors are employed. This structure allows us to amplify our reach and effectiveness, ensuring that a comprehensive network of support is available to those in need.</w:t>
      </w:r>
    </w:p>
    <w:p w14:paraId="55441508" w14:textId="77777777" w:rsidR="004A3C61" w:rsidRPr="009766D4" w:rsidRDefault="004A3C61" w:rsidP="004A3C61">
      <w:pPr>
        <w:tabs>
          <w:tab w:val="left" w:pos="820"/>
        </w:tabs>
        <w:spacing w:beforeLines="20" w:before="48" w:afterLines="20" w:after="48"/>
        <w:ind w:right="261"/>
        <w:rPr>
          <w:rFonts w:ascii="Arial" w:eastAsia="Arial" w:hAnsi="Arial" w:cs="Arial"/>
          <w:color w:val="000000" w:themeColor="text1"/>
        </w:rPr>
      </w:pPr>
    </w:p>
    <w:p w14:paraId="2FE7AC8C" w14:textId="77777777" w:rsidR="004A3C61" w:rsidRPr="009766D4" w:rsidRDefault="004A3C61" w:rsidP="004A3C61">
      <w:pPr>
        <w:tabs>
          <w:tab w:val="left" w:pos="820"/>
        </w:tabs>
        <w:spacing w:beforeLines="20" w:before="48" w:afterLines="20" w:after="48"/>
        <w:ind w:right="261"/>
        <w:rPr>
          <w:rFonts w:ascii="Arial" w:eastAsia="Arial" w:hAnsi="Arial" w:cs="Arial"/>
          <w:color w:val="000000" w:themeColor="text1"/>
        </w:rPr>
      </w:pPr>
      <w:r w:rsidRPr="009766D4">
        <w:rPr>
          <w:rFonts w:ascii="Arial" w:eastAsia="Arial" w:hAnsi="Arial" w:cs="Arial"/>
          <w:color w:val="000000" w:themeColor="text1"/>
        </w:rPr>
        <w:t>By integrating direct support with strategic partnerships, the Advice Services directorate not only tackles immediate financial and legal challenges but also contributes to the broader goal of systemic change, enhancing economic security and community resilience across one of the most challenged demographics in the nation.</w:t>
      </w:r>
    </w:p>
    <w:p w14:paraId="0FF5EF1A" w14:textId="77777777" w:rsidR="004A3C61" w:rsidRPr="009766D4" w:rsidRDefault="004A3C61" w:rsidP="004A3C61">
      <w:pPr>
        <w:tabs>
          <w:tab w:val="left" w:pos="820"/>
        </w:tabs>
        <w:spacing w:beforeLines="20" w:before="48" w:afterLines="20" w:after="48"/>
        <w:ind w:right="261"/>
        <w:rPr>
          <w:rFonts w:ascii="Arial" w:eastAsia="Arial" w:hAnsi="Arial" w:cs="Arial"/>
          <w:color w:val="000000" w:themeColor="text1"/>
        </w:rPr>
      </w:pPr>
    </w:p>
    <w:p w14:paraId="69BD1D3D" w14:textId="599DE69E" w:rsidR="00C93E1C" w:rsidRPr="009766D4" w:rsidRDefault="00C93E1C" w:rsidP="5CC5646F">
      <w:pPr>
        <w:pStyle w:val="Heading3"/>
        <w:spacing w:before="175"/>
        <w:rPr>
          <w:rFonts w:ascii="Arial" w:hAnsi="Arial" w:cs="Arial"/>
          <w:color w:val="EC7C30"/>
          <w:spacing w:val="-2"/>
        </w:rPr>
      </w:pPr>
      <w:r w:rsidRPr="009766D4">
        <w:rPr>
          <w:rFonts w:ascii="Arial" w:hAnsi="Arial" w:cs="Arial"/>
          <w:color w:val="EC7C30"/>
          <w:spacing w:val="-2"/>
        </w:rPr>
        <w:t xml:space="preserve">How we work </w:t>
      </w:r>
    </w:p>
    <w:p w14:paraId="7316FB06" w14:textId="088B4778" w:rsidR="000C1BD4" w:rsidRPr="009766D4" w:rsidRDefault="000C1BD4" w:rsidP="5CC5646F">
      <w:pPr>
        <w:pStyle w:val="BodyText"/>
        <w:spacing w:before="261"/>
        <w:ind w:left="100"/>
        <w:rPr>
          <w:rFonts w:ascii="Arial" w:hAnsi="Arial" w:cs="Arial"/>
        </w:rPr>
      </w:pPr>
      <w:r w:rsidRPr="009766D4">
        <w:rPr>
          <w:rFonts w:ascii="Arial" w:hAnsi="Arial" w:cs="Arial"/>
        </w:rPr>
        <w:t>Our values are</w:t>
      </w:r>
      <w:r w:rsidR="00840A53" w:rsidRPr="009766D4">
        <w:rPr>
          <w:rFonts w:ascii="Arial" w:hAnsi="Arial" w:cs="Arial"/>
        </w:rPr>
        <w:t xml:space="preserve"> Inclusive, Courageous and Empowering</w:t>
      </w:r>
      <w:r w:rsidRPr="009766D4">
        <w:rPr>
          <w:rFonts w:ascii="Arial" w:hAnsi="Arial" w:cs="Arial"/>
        </w:rPr>
        <w:t xml:space="preserve"> and we expect everyone who works with us to work in a way that aligns </w:t>
      </w:r>
      <w:r w:rsidR="4199388B" w:rsidRPr="009766D4">
        <w:rPr>
          <w:rFonts w:ascii="Arial" w:hAnsi="Arial" w:cs="Arial"/>
        </w:rPr>
        <w:t>with</w:t>
      </w:r>
      <w:r w:rsidRPr="009766D4">
        <w:rPr>
          <w:rFonts w:ascii="Arial" w:hAnsi="Arial" w:cs="Arial"/>
        </w:rPr>
        <w:t xml:space="preserve"> these values and to do their utmost to deliver our strategic objectives according to their role. </w:t>
      </w:r>
    </w:p>
    <w:p w14:paraId="6E9208D1" w14:textId="77777777" w:rsidR="00F517F7" w:rsidRPr="009766D4" w:rsidRDefault="00362A0D" w:rsidP="009766D4">
      <w:pPr>
        <w:pStyle w:val="Heading3"/>
        <w:spacing w:before="175"/>
        <w:ind w:left="0"/>
        <w:rPr>
          <w:rFonts w:ascii="Arial" w:hAnsi="Arial" w:cs="Arial"/>
        </w:rPr>
      </w:pPr>
      <w:r w:rsidRPr="009766D4">
        <w:rPr>
          <w:rFonts w:ascii="Arial" w:hAnsi="Arial" w:cs="Arial"/>
          <w:color w:val="EC7C30"/>
          <w:spacing w:val="-5"/>
        </w:rPr>
        <w:t>Job</w:t>
      </w:r>
      <w:r w:rsidRPr="009766D4">
        <w:rPr>
          <w:rFonts w:ascii="Arial" w:hAnsi="Arial" w:cs="Arial"/>
          <w:color w:val="EC7C30"/>
          <w:spacing w:val="-20"/>
        </w:rPr>
        <w:t xml:space="preserve"> </w:t>
      </w:r>
      <w:r w:rsidRPr="009766D4">
        <w:rPr>
          <w:rFonts w:ascii="Arial" w:hAnsi="Arial" w:cs="Arial"/>
          <w:color w:val="EC7C30"/>
          <w:spacing w:val="-2"/>
        </w:rPr>
        <w:t>purpose</w:t>
      </w:r>
    </w:p>
    <w:p w14:paraId="40A1B486" w14:textId="77777777" w:rsidR="009766D4" w:rsidRPr="009766D4" w:rsidRDefault="009766D4" w:rsidP="009766D4">
      <w:pPr>
        <w:pStyle w:val="p1"/>
        <w:rPr>
          <w:rFonts w:ascii="Arial" w:hAnsi="Arial" w:cs="Arial"/>
          <w:sz w:val="22"/>
          <w:szCs w:val="22"/>
        </w:rPr>
      </w:pPr>
      <w:r w:rsidRPr="009766D4">
        <w:rPr>
          <w:rFonts w:ascii="Arial" w:hAnsi="Arial" w:cs="Arial"/>
          <w:sz w:val="22"/>
          <w:szCs w:val="22"/>
        </w:rPr>
        <w:t>To coordinate and support the delivery of marketing, events, and outreach activity across Toynbee Hall’s Advice Services, with a particular focus on the Debt Free Advice partnership. The postholder will work closely with our external design company, local partners across London, and internal teams to raise awareness of our advice offer, strengthen client attraction, and ensure consistent, high quality brand presence across all sites and events.</w:t>
      </w:r>
    </w:p>
    <w:p w14:paraId="6E9208D4" w14:textId="6E1A9535" w:rsidR="00F517F7" w:rsidRPr="009766D4" w:rsidRDefault="00362A0D" w:rsidP="5CC5646F">
      <w:pPr>
        <w:pStyle w:val="Heading3"/>
        <w:spacing w:before="258" w:line="265" w:lineRule="exact"/>
        <w:rPr>
          <w:rFonts w:ascii="Arial" w:hAnsi="Arial" w:cs="Arial"/>
        </w:rPr>
      </w:pPr>
      <w:r w:rsidRPr="009766D4">
        <w:rPr>
          <w:rFonts w:ascii="Arial" w:hAnsi="Arial" w:cs="Arial"/>
          <w:color w:val="EC7C30"/>
          <w:w w:val="90"/>
        </w:rPr>
        <w:t>Scope</w:t>
      </w:r>
      <w:r w:rsidRPr="009766D4">
        <w:rPr>
          <w:rFonts w:ascii="Arial" w:hAnsi="Arial" w:cs="Arial"/>
          <w:color w:val="EC7C30"/>
          <w:spacing w:val="-5"/>
          <w:w w:val="90"/>
        </w:rPr>
        <w:t xml:space="preserve"> </w:t>
      </w:r>
      <w:r w:rsidRPr="009766D4">
        <w:rPr>
          <w:rFonts w:ascii="Arial" w:hAnsi="Arial" w:cs="Arial"/>
          <w:color w:val="EC7C30"/>
          <w:w w:val="90"/>
        </w:rPr>
        <w:t>of</w:t>
      </w:r>
      <w:r w:rsidRPr="009766D4">
        <w:rPr>
          <w:rFonts w:ascii="Arial" w:hAnsi="Arial" w:cs="Arial"/>
          <w:color w:val="EC7C30"/>
          <w:spacing w:val="-2"/>
          <w:w w:val="90"/>
        </w:rPr>
        <w:t xml:space="preserve"> </w:t>
      </w:r>
      <w:r w:rsidRPr="009766D4">
        <w:rPr>
          <w:rFonts w:ascii="Arial" w:hAnsi="Arial" w:cs="Arial"/>
          <w:color w:val="EC7C30"/>
          <w:spacing w:val="-4"/>
          <w:w w:val="90"/>
        </w:rPr>
        <w:t>role</w:t>
      </w:r>
    </w:p>
    <w:p w14:paraId="78EA4699" w14:textId="77777777" w:rsidR="009766D4" w:rsidRPr="009766D4" w:rsidRDefault="009766D4" w:rsidP="009766D4">
      <w:pPr>
        <w:pStyle w:val="p1"/>
        <w:rPr>
          <w:rFonts w:ascii="Arial" w:hAnsi="Arial" w:cs="Arial"/>
          <w:sz w:val="22"/>
          <w:szCs w:val="22"/>
        </w:rPr>
      </w:pPr>
      <w:r w:rsidRPr="009766D4">
        <w:rPr>
          <w:rFonts w:ascii="Arial" w:hAnsi="Arial" w:cs="Arial"/>
          <w:sz w:val="22"/>
          <w:szCs w:val="22"/>
        </w:rPr>
        <w:t xml:space="preserve">The Marketing Coordinator supports the full marketing, engagement, and outreach function for Advice Services, including campaign delivery, creative asset coordination, event and </w:t>
      </w:r>
      <w:proofErr w:type="gramStart"/>
      <w:r w:rsidRPr="009766D4">
        <w:rPr>
          <w:rFonts w:ascii="Arial" w:hAnsi="Arial" w:cs="Arial"/>
          <w:sz w:val="22"/>
          <w:szCs w:val="22"/>
        </w:rPr>
        <w:t>pop up</w:t>
      </w:r>
      <w:proofErr w:type="gramEnd"/>
      <w:r w:rsidRPr="009766D4">
        <w:rPr>
          <w:rFonts w:ascii="Arial" w:hAnsi="Arial" w:cs="Arial"/>
          <w:sz w:val="22"/>
          <w:szCs w:val="22"/>
        </w:rPr>
        <w:t xml:space="preserve"> planning, partnership engagement, and </w:t>
      </w:r>
      <w:proofErr w:type="gramStart"/>
      <w:r w:rsidRPr="009766D4">
        <w:rPr>
          <w:rFonts w:ascii="Arial" w:hAnsi="Arial" w:cs="Arial"/>
          <w:sz w:val="22"/>
          <w:szCs w:val="22"/>
        </w:rPr>
        <w:t>on site</w:t>
      </w:r>
      <w:proofErr w:type="gramEnd"/>
      <w:r w:rsidRPr="009766D4">
        <w:rPr>
          <w:rFonts w:ascii="Arial" w:hAnsi="Arial" w:cs="Arial"/>
          <w:sz w:val="22"/>
          <w:szCs w:val="22"/>
        </w:rPr>
        <w:t xml:space="preserve"> marketing support. The role works across multiple London locations and service areas such as debt advice, welfare benefits, financial health, and community outreach. The postholder ensures that materials, events, and campaigns are delivered on time, on brand, and aligned with client attraction goals, with a substantial portion of activity focused on supporting the Debt Free Advice partnership.</w:t>
      </w:r>
    </w:p>
    <w:p w14:paraId="6E9208D8" w14:textId="77777777" w:rsidR="00F517F7" w:rsidRPr="009766D4" w:rsidRDefault="00F517F7" w:rsidP="5CC5646F">
      <w:pPr>
        <w:pStyle w:val="BodyText"/>
        <w:spacing w:before="12"/>
        <w:rPr>
          <w:rFonts w:ascii="Arial" w:hAnsi="Arial" w:cs="Arial"/>
        </w:rPr>
      </w:pPr>
    </w:p>
    <w:p w14:paraId="6E9208D9" w14:textId="77777777" w:rsidR="00F517F7" w:rsidRPr="009766D4" w:rsidRDefault="00362A0D" w:rsidP="5CC5646F">
      <w:pPr>
        <w:pStyle w:val="Heading3"/>
        <w:spacing w:before="1" w:line="265" w:lineRule="exact"/>
        <w:rPr>
          <w:rFonts w:ascii="Arial" w:hAnsi="Arial" w:cs="Arial"/>
        </w:rPr>
      </w:pPr>
      <w:r w:rsidRPr="009766D4">
        <w:rPr>
          <w:rFonts w:ascii="Arial" w:hAnsi="Arial" w:cs="Arial"/>
          <w:color w:val="EC7C30"/>
          <w:w w:val="85"/>
        </w:rPr>
        <w:t>Key</w:t>
      </w:r>
      <w:r w:rsidRPr="009766D4">
        <w:rPr>
          <w:rFonts w:ascii="Arial" w:hAnsi="Arial" w:cs="Arial"/>
          <w:color w:val="EC7C30"/>
          <w:spacing w:val="-1"/>
        </w:rPr>
        <w:t xml:space="preserve"> </w:t>
      </w:r>
      <w:r w:rsidRPr="009766D4">
        <w:rPr>
          <w:rFonts w:ascii="Arial" w:hAnsi="Arial" w:cs="Arial"/>
          <w:color w:val="EC7C30"/>
          <w:w w:val="85"/>
        </w:rPr>
        <w:t>working</w:t>
      </w:r>
      <w:r w:rsidRPr="009766D4">
        <w:rPr>
          <w:rFonts w:ascii="Arial" w:hAnsi="Arial" w:cs="Arial"/>
          <w:color w:val="EC7C30"/>
          <w:spacing w:val="-1"/>
        </w:rPr>
        <w:t xml:space="preserve"> </w:t>
      </w:r>
      <w:r w:rsidRPr="009766D4">
        <w:rPr>
          <w:rFonts w:ascii="Arial" w:hAnsi="Arial" w:cs="Arial"/>
          <w:color w:val="EC7C30"/>
          <w:spacing w:val="-2"/>
          <w:w w:val="85"/>
        </w:rPr>
        <w:t>relationships</w:t>
      </w:r>
    </w:p>
    <w:p w14:paraId="31FD59BE" w14:textId="0D3CD861" w:rsidR="009766D4" w:rsidRPr="009766D4" w:rsidRDefault="009766D4" w:rsidP="009766D4">
      <w:pPr>
        <w:pStyle w:val="p1"/>
        <w:numPr>
          <w:ilvl w:val="0"/>
          <w:numId w:val="9"/>
        </w:numPr>
        <w:rPr>
          <w:rFonts w:ascii="Arial" w:hAnsi="Arial" w:cs="Arial"/>
          <w:sz w:val="22"/>
          <w:szCs w:val="22"/>
        </w:rPr>
      </w:pPr>
      <w:r w:rsidRPr="009766D4">
        <w:rPr>
          <w:rStyle w:val="s1"/>
          <w:rFonts w:ascii="Arial" w:hAnsi="Arial" w:cs="Arial"/>
          <w:b/>
          <w:bCs/>
          <w:sz w:val="22"/>
          <w:szCs w:val="22"/>
        </w:rPr>
        <w:t>Internal:</w:t>
      </w:r>
      <w:r w:rsidRPr="009766D4">
        <w:rPr>
          <w:rFonts w:ascii="Arial" w:hAnsi="Arial" w:cs="Arial"/>
          <w:sz w:val="22"/>
          <w:szCs w:val="22"/>
        </w:rPr>
        <w:t xml:space="preserve"> </w:t>
      </w:r>
      <w:r w:rsidRPr="009766D4">
        <w:rPr>
          <w:rFonts w:ascii="Arial" w:hAnsi="Arial" w:cs="Arial"/>
          <w:sz w:val="22"/>
          <w:szCs w:val="22"/>
        </w:rPr>
        <w:t xml:space="preserve">Director and </w:t>
      </w:r>
      <w:r w:rsidRPr="009766D4">
        <w:rPr>
          <w:rFonts w:ascii="Arial" w:hAnsi="Arial" w:cs="Arial"/>
          <w:sz w:val="22"/>
          <w:szCs w:val="22"/>
        </w:rPr>
        <w:t>Deputy Director of Advice Services, Senior Manager</w:t>
      </w:r>
      <w:r w:rsidRPr="009766D4">
        <w:rPr>
          <w:rFonts w:ascii="Arial" w:hAnsi="Arial" w:cs="Arial"/>
          <w:sz w:val="22"/>
          <w:szCs w:val="22"/>
        </w:rPr>
        <w:t>s</w:t>
      </w:r>
      <w:r w:rsidRPr="009766D4">
        <w:rPr>
          <w:rFonts w:ascii="Arial" w:hAnsi="Arial" w:cs="Arial"/>
          <w:sz w:val="22"/>
          <w:szCs w:val="22"/>
        </w:rPr>
        <w:t>, Advice Services leadership team, frontline advisers, Communications and Marketing colleagues, Project Leads, Data and Insights teams, and wider Toynbee Hall staff.</w:t>
      </w:r>
    </w:p>
    <w:p w14:paraId="5F68A610" w14:textId="77777777" w:rsidR="009766D4" w:rsidRPr="009766D4" w:rsidRDefault="009766D4" w:rsidP="009766D4">
      <w:pPr>
        <w:pStyle w:val="p1"/>
        <w:numPr>
          <w:ilvl w:val="0"/>
          <w:numId w:val="9"/>
        </w:numPr>
        <w:rPr>
          <w:rFonts w:ascii="Arial" w:hAnsi="Arial" w:cs="Arial"/>
          <w:sz w:val="22"/>
          <w:szCs w:val="22"/>
        </w:rPr>
      </w:pPr>
      <w:r w:rsidRPr="009766D4">
        <w:rPr>
          <w:rStyle w:val="s1"/>
          <w:rFonts w:ascii="Arial" w:hAnsi="Arial" w:cs="Arial"/>
          <w:b/>
          <w:bCs/>
          <w:sz w:val="22"/>
          <w:szCs w:val="22"/>
        </w:rPr>
        <w:t>External:</w:t>
      </w:r>
      <w:r w:rsidRPr="009766D4">
        <w:rPr>
          <w:rFonts w:ascii="Arial" w:hAnsi="Arial" w:cs="Arial"/>
          <w:sz w:val="22"/>
          <w:szCs w:val="22"/>
        </w:rPr>
        <w:t xml:space="preserve"> External design company, local authorities, community partners, venue partners, event suppliers, and organisations within the Debt Free Advice partnership.</w:t>
      </w:r>
    </w:p>
    <w:p w14:paraId="553CD723" w14:textId="77777777" w:rsidR="00CE3121" w:rsidRPr="009766D4" w:rsidRDefault="00CE3121" w:rsidP="5CC5646F">
      <w:pPr>
        <w:pStyle w:val="BodyText"/>
        <w:ind w:left="100" w:right="88"/>
        <w:rPr>
          <w:rFonts w:ascii="Arial" w:hAnsi="Arial" w:cs="Arial"/>
        </w:rPr>
      </w:pPr>
    </w:p>
    <w:p w14:paraId="6E9208DB" w14:textId="56AD0582" w:rsidR="00F517F7" w:rsidRPr="009766D4" w:rsidRDefault="00362A0D" w:rsidP="5CC5646F">
      <w:pPr>
        <w:pStyle w:val="Heading3"/>
        <w:spacing w:before="258"/>
        <w:rPr>
          <w:rFonts w:ascii="Arial" w:hAnsi="Arial" w:cs="Arial"/>
          <w:color w:val="EC7C30"/>
        </w:rPr>
      </w:pPr>
      <w:r w:rsidRPr="009766D4">
        <w:rPr>
          <w:rFonts w:ascii="Arial" w:hAnsi="Arial" w:cs="Arial"/>
          <w:color w:val="EC7C30"/>
          <w:spacing w:val="-2"/>
          <w:w w:val="90"/>
        </w:rPr>
        <w:t>Key</w:t>
      </w:r>
      <w:r w:rsidRPr="009766D4">
        <w:rPr>
          <w:rFonts w:ascii="Arial" w:hAnsi="Arial" w:cs="Arial"/>
          <w:color w:val="EC7C30"/>
          <w:spacing w:val="-11"/>
          <w:w w:val="90"/>
        </w:rPr>
        <w:t xml:space="preserve"> </w:t>
      </w:r>
      <w:r w:rsidR="126B7579" w:rsidRPr="009766D4">
        <w:rPr>
          <w:rFonts w:ascii="Arial" w:hAnsi="Arial" w:cs="Arial"/>
          <w:color w:val="EC7C30"/>
          <w:spacing w:val="-11"/>
          <w:w w:val="90"/>
        </w:rPr>
        <w:t xml:space="preserve">Responsibilities </w:t>
      </w:r>
    </w:p>
    <w:p w14:paraId="16CDB723" w14:textId="77777777" w:rsidR="009766D4" w:rsidRPr="009766D4" w:rsidRDefault="009766D4" w:rsidP="009766D4">
      <w:pPr>
        <w:pStyle w:val="Heading3"/>
        <w:rPr>
          <w:rFonts w:ascii="Arial" w:eastAsia="Times New Roman" w:hAnsi="Arial" w:cs="Arial"/>
        </w:rPr>
      </w:pPr>
      <w:r w:rsidRPr="009766D4">
        <w:rPr>
          <w:rFonts w:ascii="Arial" w:hAnsi="Arial" w:cs="Arial"/>
        </w:rPr>
        <w:t>Campaign and Creative Coordination</w:t>
      </w:r>
    </w:p>
    <w:p w14:paraId="6CF77295" w14:textId="2C133D37" w:rsidR="009766D4" w:rsidRPr="009766D4" w:rsidRDefault="009766D4" w:rsidP="009766D4">
      <w:pPr>
        <w:pStyle w:val="p1"/>
        <w:numPr>
          <w:ilvl w:val="0"/>
          <w:numId w:val="10"/>
        </w:numPr>
        <w:rPr>
          <w:rFonts w:ascii="Arial" w:hAnsi="Arial" w:cs="Arial"/>
          <w:sz w:val="22"/>
          <w:szCs w:val="22"/>
        </w:rPr>
      </w:pPr>
      <w:r w:rsidRPr="009766D4">
        <w:rPr>
          <w:rFonts w:ascii="Arial" w:hAnsi="Arial" w:cs="Arial"/>
          <w:sz w:val="22"/>
          <w:szCs w:val="22"/>
        </w:rPr>
        <w:t xml:space="preserve">Coordinate marketing campaigns that support all Advice Services, including Debt Free Advice, Welfare Benefits, Financial Health, and </w:t>
      </w:r>
      <w:r w:rsidR="00D63015" w:rsidRPr="009766D4">
        <w:rPr>
          <w:rFonts w:ascii="Arial" w:hAnsi="Arial" w:cs="Arial"/>
          <w:sz w:val="22"/>
          <w:szCs w:val="22"/>
        </w:rPr>
        <w:t>community-based</w:t>
      </w:r>
      <w:r w:rsidRPr="009766D4">
        <w:rPr>
          <w:rFonts w:ascii="Arial" w:hAnsi="Arial" w:cs="Arial"/>
          <w:sz w:val="22"/>
          <w:szCs w:val="22"/>
        </w:rPr>
        <w:t xml:space="preserve"> advice projects.</w:t>
      </w:r>
    </w:p>
    <w:p w14:paraId="6BF3B929" w14:textId="77777777" w:rsidR="009766D4" w:rsidRPr="009766D4" w:rsidRDefault="009766D4" w:rsidP="009766D4">
      <w:pPr>
        <w:pStyle w:val="p1"/>
        <w:numPr>
          <w:ilvl w:val="0"/>
          <w:numId w:val="10"/>
        </w:numPr>
        <w:rPr>
          <w:rFonts w:ascii="Arial" w:hAnsi="Arial" w:cs="Arial"/>
          <w:sz w:val="22"/>
          <w:szCs w:val="22"/>
        </w:rPr>
      </w:pPr>
      <w:r w:rsidRPr="009766D4">
        <w:rPr>
          <w:rFonts w:ascii="Arial" w:hAnsi="Arial" w:cs="Arial"/>
          <w:sz w:val="22"/>
          <w:szCs w:val="22"/>
        </w:rPr>
        <w:t>Work with the external design company to produce creative briefs, manage timelines, and review materials.</w:t>
      </w:r>
    </w:p>
    <w:p w14:paraId="00133D7A" w14:textId="77777777" w:rsidR="009766D4" w:rsidRPr="009766D4" w:rsidRDefault="009766D4" w:rsidP="009766D4">
      <w:pPr>
        <w:pStyle w:val="p1"/>
        <w:numPr>
          <w:ilvl w:val="0"/>
          <w:numId w:val="10"/>
        </w:numPr>
        <w:rPr>
          <w:rFonts w:ascii="Arial" w:hAnsi="Arial" w:cs="Arial"/>
          <w:sz w:val="22"/>
          <w:szCs w:val="22"/>
        </w:rPr>
      </w:pPr>
      <w:r w:rsidRPr="009766D4">
        <w:rPr>
          <w:rFonts w:ascii="Arial" w:hAnsi="Arial" w:cs="Arial"/>
          <w:sz w:val="22"/>
          <w:szCs w:val="22"/>
        </w:rPr>
        <w:t>Support development of content for posters, leaflets, digital channels, newsletters, and outreach resources.</w:t>
      </w:r>
    </w:p>
    <w:p w14:paraId="7D2A343A" w14:textId="6330234F" w:rsidR="009766D4" w:rsidRPr="009766D4" w:rsidRDefault="009766D4" w:rsidP="009766D4">
      <w:pPr>
        <w:pStyle w:val="p1"/>
        <w:numPr>
          <w:ilvl w:val="0"/>
          <w:numId w:val="10"/>
        </w:numPr>
        <w:rPr>
          <w:rFonts w:ascii="Arial" w:hAnsi="Arial" w:cs="Arial"/>
          <w:sz w:val="22"/>
          <w:szCs w:val="22"/>
        </w:rPr>
      </w:pPr>
      <w:r w:rsidRPr="009766D4">
        <w:rPr>
          <w:rFonts w:ascii="Arial" w:hAnsi="Arial" w:cs="Arial"/>
          <w:sz w:val="22"/>
          <w:szCs w:val="22"/>
        </w:rPr>
        <w:t xml:space="preserve">Maintain a clear and organised library of brand assets and </w:t>
      </w:r>
      <w:r w:rsidR="00D63015" w:rsidRPr="009766D4">
        <w:rPr>
          <w:rFonts w:ascii="Arial" w:hAnsi="Arial" w:cs="Arial"/>
          <w:sz w:val="22"/>
          <w:szCs w:val="22"/>
        </w:rPr>
        <w:t>site-specific</w:t>
      </w:r>
      <w:r w:rsidRPr="009766D4">
        <w:rPr>
          <w:rFonts w:ascii="Arial" w:hAnsi="Arial" w:cs="Arial"/>
          <w:sz w:val="22"/>
          <w:szCs w:val="22"/>
        </w:rPr>
        <w:t xml:space="preserve"> materials for all Advice Services.</w:t>
      </w:r>
    </w:p>
    <w:p w14:paraId="57229D24" w14:textId="77777777" w:rsidR="009766D4" w:rsidRPr="009766D4" w:rsidRDefault="009766D4" w:rsidP="009766D4">
      <w:pPr>
        <w:pStyle w:val="p2"/>
        <w:rPr>
          <w:rFonts w:ascii="Arial" w:hAnsi="Arial" w:cs="Arial"/>
          <w:sz w:val="22"/>
          <w:szCs w:val="22"/>
        </w:rPr>
      </w:pPr>
    </w:p>
    <w:p w14:paraId="65F35028" w14:textId="77777777" w:rsidR="009766D4" w:rsidRPr="009766D4" w:rsidRDefault="009766D4" w:rsidP="009766D4">
      <w:pPr>
        <w:pStyle w:val="Heading3"/>
        <w:rPr>
          <w:rFonts w:ascii="Arial" w:hAnsi="Arial" w:cs="Arial"/>
        </w:rPr>
      </w:pPr>
      <w:r w:rsidRPr="009766D4">
        <w:rPr>
          <w:rFonts w:ascii="Arial" w:hAnsi="Arial" w:cs="Arial"/>
        </w:rPr>
        <w:t>Events, Pop Ups, and Conferences</w:t>
      </w:r>
    </w:p>
    <w:p w14:paraId="425705D1" w14:textId="77777777" w:rsidR="009766D4" w:rsidRPr="009766D4" w:rsidRDefault="009766D4" w:rsidP="009766D4">
      <w:pPr>
        <w:pStyle w:val="p1"/>
        <w:numPr>
          <w:ilvl w:val="0"/>
          <w:numId w:val="11"/>
        </w:numPr>
        <w:rPr>
          <w:rFonts w:ascii="Arial" w:hAnsi="Arial" w:cs="Arial"/>
          <w:sz w:val="22"/>
          <w:szCs w:val="22"/>
        </w:rPr>
      </w:pPr>
      <w:r w:rsidRPr="009766D4">
        <w:rPr>
          <w:rFonts w:ascii="Arial" w:hAnsi="Arial" w:cs="Arial"/>
          <w:sz w:val="22"/>
          <w:szCs w:val="22"/>
        </w:rPr>
        <w:t>Plan and deliver events, pop ups, outreach days, and conferences to increase visibility and attract clients across Advice Services.</w:t>
      </w:r>
    </w:p>
    <w:p w14:paraId="1F87035C" w14:textId="77777777" w:rsidR="009766D4" w:rsidRPr="009766D4" w:rsidRDefault="009766D4" w:rsidP="009766D4">
      <w:pPr>
        <w:pStyle w:val="p1"/>
        <w:numPr>
          <w:ilvl w:val="0"/>
          <w:numId w:val="11"/>
        </w:numPr>
        <w:rPr>
          <w:rFonts w:ascii="Arial" w:hAnsi="Arial" w:cs="Arial"/>
          <w:sz w:val="22"/>
          <w:szCs w:val="22"/>
        </w:rPr>
      </w:pPr>
      <w:r w:rsidRPr="009766D4">
        <w:rPr>
          <w:rFonts w:ascii="Arial" w:hAnsi="Arial" w:cs="Arial"/>
          <w:sz w:val="22"/>
          <w:szCs w:val="22"/>
        </w:rPr>
        <w:t>Coordinate logistics including venue arrangements, materials, staffing, equipment, and client engagement.</w:t>
      </w:r>
    </w:p>
    <w:p w14:paraId="1998B17F" w14:textId="77777777" w:rsidR="009766D4" w:rsidRPr="009766D4" w:rsidRDefault="009766D4" w:rsidP="009766D4">
      <w:pPr>
        <w:pStyle w:val="p1"/>
        <w:numPr>
          <w:ilvl w:val="0"/>
          <w:numId w:val="11"/>
        </w:numPr>
        <w:rPr>
          <w:rFonts w:ascii="Arial" w:hAnsi="Arial" w:cs="Arial"/>
          <w:sz w:val="22"/>
          <w:szCs w:val="22"/>
        </w:rPr>
      </w:pPr>
      <w:r w:rsidRPr="009766D4">
        <w:rPr>
          <w:rFonts w:ascii="Arial" w:hAnsi="Arial" w:cs="Arial"/>
          <w:sz w:val="22"/>
          <w:szCs w:val="22"/>
        </w:rPr>
        <w:t>Represent Toynbee Hall and Debt Free Advice at events when required.</w:t>
      </w:r>
    </w:p>
    <w:p w14:paraId="11DE1D25" w14:textId="77777777" w:rsidR="009766D4" w:rsidRPr="009766D4" w:rsidRDefault="009766D4" w:rsidP="009766D4">
      <w:pPr>
        <w:pStyle w:val="p1"/>
        <w:numPr>
          <w:ilvl w:val="0"/>
          <w:numId w:val="11"/>
        </w:numPr>
        <w:rPr>
          <w:rFonts w:ascii="Arial" w:hAnsi="Arial" w:cs="Arial"/>
          <w:sz w:val="22"/>
          <w:szCs w:val="22"/>
        </w:rPr>
      </w:pPr>
      <w:r w:rsidRPr="009766D4">
        <w:rPr>
          <w:rFonts w:ascii="Arial" w:hAnsi="Arial" w:cs="Arial"/>
          <w:sz w:val="22"/>
          <w:szCs w:val="22"/>
        </w:rPr>
        <w:t>Gather data, attendance information, and feedback to support reporting and ongoing improvement.</w:t>
      </w:r>
    </w:p>
    <w:p w14:paraId="1110DD46" w14:textId="77777777" w:rsidR="009766D4" w:rsidRPr="009766D4" w:rsidRDefault="009766D4" w:rsidP="009766D4">
      <w:pPr>
        <w:pStyle w:val="p2"/>
        <w:rPr>
          <w:rFonts w:ascii="Arial" w:hAnsi="Arial" w:cs="Arial"/>
          <w:sz w:val="22"/>
          <w:szCs w:val="22"/>
        </w:rPr>
      </w:pPr>
    </w:p>
    <w:p w14:paraId="4F058F2F" w14:textId="77777777" w:rsidR="009766D4" w:rsidRPr="009766D4" w:rsidRDefault="009766D4" w:rsidP="009766D4">
      <w:pPr>
        <w:pStyle w:val="Heading3"/>
        <w:rPr>
          <w:rFonts w:ascii="Arial" w:hAnsi="Arial" w:cs="Arial"/>
        </w:rPr>
      </w:pPr>
      <w:r w:rsidRPr="009766D4">
        <w:rPr>
          <w:rFonts w:ascii="Arial" w:hAnsi="Arial" w:cs="Arial"/>
        </w:rPr>
        <w:t>Partner and Site Engagement</w:t>
      </w:r>
    </w:p>
    <w:p w14:paraId="2352E63A" w14:textId="77777777" w:rsidR="009766D4" w:rsidRPr="009766D4" w:rsidRDefault="009766D4" w:rsidP="009766D4">
      <w:pPr>
        <w:pStyle w:val="p1"/>
        <w:numPr>
          <w:ilvl w:val="0"/>
          <w:numId w:val="12"/>
        </w:numPr>
        <w:rPr>
          <w:rFonts w:ascii="Arial" w:hAnsi="Arial" w:cs="Arial"/>
          <w:sz w:val="22"/>
          <w:szCs w:val="22"/>
        </w:rPr>
      </w:pPr>
      <w:r w:rsidRPr="009766D4">
        <w:rPr>
          <w:rFonts w:ascii="Arial" w:hAnsi="Arial" w:cs="Arial"/>
          <w:sz w:val="22"/>
          <w:szCs w:val="22"/>
        </w:rPr>
        <w:t>Build and maintain productive working relationships with partners across our London advice sites and community locations.</w:t>
      </w:r>
    </w:p>
    <w:p w14:paraId="3E5704FB" w14:textId="77777777" w:rsidR="009766D4" w:rsidRPr="009766D4" w:rsidRDefault="009766D4" w:rsidP="009766D4">
      <w:pPr>
        <w:pStyle w:val="p1"/>
        <w:numPr>
          <w:ilvl w:val="0"/>
          <w:numId w:val="12"/>
        </w:numPr>
        <w:rPr>
          <w:rFonts w:ascii="Arial" w:hAnsi="Arial" w:cs="Arial"/>
          <w:sz w:val="22"/>
          <w:szCs w:val="22"/>
        </w:rPr>
      </w:pPr>
      <w:r w:rsidRPr="009766D4">
        <w:rPr>
          <w:rFonts w:ascii="Arial" w:hAnsi="Arial" w:cs="Arial"/>
          <w:sz w:val="22"/>
          <w:szCs w:val="22"/>
        </w:rPr>
        <w:t>Work with Debt Free Advice partners and local authorities to promote joint initiatives and campaigns.</w:t>
      </w:r>
    </w:p>
    <w:p w14:paraId="2B66D6B8" w14:textId="77777777" w:rsidR="009766D4" w:rsidRPr="009766D4" w:rsidRDefault="009766D4" w:rsidP="009766D4">
      <w:pPr>
        <w:pStyle w:val="p1"/>
        <w:numPr>
          <w:ilvl w:val="0"/>
          <w:numId w:val="12"/>
        </w:numPr>
        <w:rPr>
          <w:rFonts w:ascii="Arial" w:hAnsi="Arial" w:cs="Arial"/>
          <w:sz w:val="22"/>
          <w:szCs w:val="22"/>
        </w:rPr>
      </w:pPr>
      <w:r w:rsidRPr="009766D4">
        <w:rPr>
          <w:rFonts w:ascii="Arial" w:hAnsi="Arial" w:cs="Arial"/>
          <w:sz w:val="22"/>
          <w:szCs w:val="22"/>
        </w:rPr>
        <w:t>Ensure each site has appropriate marketing materials, signage, and outreach tools to support client attraction.</w:t>
      </w:r>
    </w:p>
    <w:p w14:paraId="20166A38" w14:textId="16E9274F" w:rsidR="009766D4" w:rsidRPr="00D63015" w:rsidRDefault="009766D4" w:rsidP="009766D4">
      <w:pPr>
        <w:pStyle w:val="p1"/>
        <w:numPr>
          <w:ilvl w:val="0"/>
          <w:numId w:val="12"/>
        </w:numPr>
        <w:rPr>
          <w:rFonts w:ascii="Arial" w:hAnsi="Arial" w:cs="Arial"/>
          <w:sz w:val="22"/>
          <w:szCs w:val="22"/>
        </w:rPr>
      </w:pPr>
      <w:r w:rsidRPr="009766D4">
        <w:rPr>
          <w:rFonts w:ascii="Arial" w:hAnsi="Arial" w:cs="Arial"/>
          <w:sz w:val="22"/>
          <w:szCs w:val="22"/>
        </w:rPr>
        <w:t>Support staff across services to deliver consistent messaging and service visibility across all advice projects.</w:t>
      </w:r>
    </w:p>
    <w:p w14:paraId="16F59BC5" w14:textId="77777777" w:rsidR="009766D4" w:rsidRPr="009766D4" w:rsidRDefault="009766D4" w:rsidP="009766D4">
      <w:pPr>
        <w:pStyle w:val="Heading3"/>
        <w:rPr>
          <w:rFonts w:ascii="Arial" w:hAnsi="Arial" w:cs="Arial"/>
        </w:rPr>
      </w:pPr>
      <w:r w:rsidRPr="009766D4">
        <w:rPr>
          <w:rFonts w:ascii="Arial" w:hAnsi="Arial" w:cs="Arial"/>
        </w:rPr>
        <w:t>Monitoring and Continuous Improvement</w:t>
      </w:r>
    </w:p>
    <w:p w14:paraId="67659B99" w14:textId="77777777" w:rsidR="009766D4" w:rsidRPr="009766D4" w:rsidRDefault="009766D4" w:rsidP="009766D4">
      <w:pPr>
        <w:pStyle w:val="p1"/>
        <w:numPr>
          <w:ilvl w:val="0"/>
          <w:numId w:val="13"/>
        </w:numPr>
        <w:rPr>
          <w:rFonts w:ascii="Arial" w:hAnsi="Arial" w:cs="Arial"/>
          <w:sz w:val="22"/>
          <w:szCs w:val="22"/>
        </w:rPr>
      </w:pPr>
      <w:r w:rsidRPr="009766D4">
        <w:rPr>
          <w:rFonts w:ascii="Arial" w:hAnsi="Arial" w:cs="Arial"/>
          <w:sz w:val="22"/>
          <w:szCs w:val="22"/>
        </w:rPr>
        <w:t>Track activity, engagement, and outcomes from campaigns and events to support reporting and decision making.</w:t>
      </w:r>
    </w:p>
    <w:p w14:paraId="400F1DEA" w14:textId="77777777" w:rsidR="009766D4" w:rsidRPr="009766D4" w:rsidRDefault="009766D4" w:rsidP="009766D4">
      <w:pPr>
        <w:pStyle w:val="p1"/>
        <w:numPr>
          <w:ilvl w:val="0"/>
          <w:numId w:val="13"/>
        </w:numPr>
        <w:rPr>
          <w:rFonts w:ascii="Arial" w:hAnsi="Arial" w:cs="Arial"/>
          <w:sz w:val="22"/>
          <w:szCs w:val="22"/>
        </w:rPr>
      </w:pPr>
      <w:r w:rsidRPr="009766D4">
        <w:rPr>
          <w:rFonts w:ascii="Arial" w:hAnsi="Arial" w:cs="Arial"/>
          <w:sz w:val="22"/>
          <w:szCs w:val="22"/>
        </w:rPr>
        <w:t>Monitor print and promotional stock and coordinate updates and reprints with the design company.</w:t>
      </w:r>
    </w:p>
    <w:p w14:paraId="1EFB71FA" w14:textId="77777777" w:rsidR="009766D4" w:rsidRPr="009766D4" w:rsidRDefault="009766D4" w:rsidP="009766D4">
      <w:pPr>
        <w:pStyle w:val="p1"/>
        <w:numPr>
          <w:ilvl w:val="0"/>
          <w:numId w:val="13"/>
        </w:numPr>
        <w:rPr>
          <w:rFonts w:ascii="Arial" w:hAnsi="Arial" w:cs="Arial"/>
          <w:sz w:val="22"/>
          <w:szCs w:val="22"/>
        </w:rPr>
      </w:pPr>
      <w:r w:rsidRPr="009766D4">
        <w:rPr>
          <w:rFonts w:ascii="Arial" w:hAnsi="Arial" w:cs="Arial"/>
          <w:sz w:val="22"/>
          <w:szCs w:val="22"/>
        </w:rPr>
        <w:t>Identify opportunities to strengthen outreach, client attraction, and brand consistency across Advice Services.</w:t>
      </w:r>
    </w:p>
    <w:p w14:paraId="2F5040BD" w14:textId="77777777" w:rsidR="009766D4" w:rsidRPr="009766D4" w:rsidRDefault="009766D4" w:rsidP="009766D4">
      <w:pPr>
        <w:pStyle w:val="p2"/>
        <w:rPr>
          <w:rFonts w:ascii="Arial" w:hAnsi="Arial" w:cs="Arial"/>
          <w:sz w:val="22"/>
          <w:szCs w:val="22"/>
        </w:rPr>
      </w:pPr>
    </w:p>
    <w:p w14:paraId="34D05FFD" w14:textId="77777777" w:rsidR="009766D4" w:rsidRPr="009766D4" w:rsidRDefault="009766D4" w:rsidP="009766D4">
      <w:pPr>
        <w:pStyle w:val="Heading3"/>
        <w:rPr>
          <w:rFonts w:ascii="Arial" w:hAnsi="Arial" w:cs="Arial"/>
        </w:rPr>
      </w:pPr>
      <w:r w:rsidRPr="009766D4">
        <w:rPr>
          <w:rFonts w:ascii="Arial" w:hAnsi="Arial" w:cs="Arial"/>
        </w:rPr>
        <w:lastRenderedPageBreak/>
        <w:t>General Responsibilities</w:t>
      </w:r>
    </w:p>
    <w:p w14:paraId="38FF31C5" w14:textId="77777777" w:rsidR="009766D4" w:rsidRPr="009766D4" w:rsidRDefault="009766D4" w:rsidP="009766D4">
      <w:pPr>
        <w:pStyle w:val="p1"/>
        <w:numPr>
          <w:ilvl w:val="0"/>
          <w:numId w:val="14"/>
        </w:numPr>
        <w:rPr>
          <w:rFonts w:ascii="Arial" w:hAnsi="Arial" w:cs="Arial"/>
          <w:sz w:val="22"/>
          <w:szCs w:val="22"/>
        </w:rPr>
      </w:pPr>
      <w:r w:rsidRPr="009766D4">
        <w:rPr>
          <w:rFonts w:ascii="Arial" w:hAnsi="Arial" w:cs="Arial"/>
          <w:sz w:val="22"/>
          <w:szCs w:val="22"/>
        </w:rPr>
        <w:t>Ensure all marketing and outreach follow brand guidelines, safeguarding standards, and accessibility requirements.</w:t>
      </w:r>
    </w:p>
    <w:p w14:paraId="312529A2" w14:textId="77777777" w:rsidR="009766D4" w:rsidRPr="009766D4" w:rsidRDefault="009766D4" w:rsidP="009766D4">
      <w:pPr>
        <w:pStyle w:val="p1"/>
        <w:numPr>
          <w:ilvl w:val="0"/>
          <w:numId w:val="14"/>
        </w:numPr>
        <w:rPr>
          <w:rFonts w:ascii="Arial" w:hAnsi="Arial" w:cs="Arial"/>
          <w:sz w:val="22"/>
          <w:szCs w:val="22"/>
        </w:rPr>
      </w:pPr>
      <w:r w:rsidRPr="009766D4">
        <w:rPr>
          <w:rFonts w:ascii="Arial" w:hAnsi="Arial" w:cs="Arial"/>
          <w:sz w:val="22"/>
          <w:szCs w:val="22"/>
        </w:rPr>
        <w:t>Contribute to cross organisation planning, Advice Services projects, and partnership meetings.</w:t>
      </w:r>
    </w:p>
    <w:p w14:paraId="79BB083C" w14:textId="77777777" w:rsidR="009766D4" w:rsidRPr="009766D4" w:rsidRDefault="009766D4" w:rsidP="009766D4">
      <w:pPr>
        <w:pStyle w:val="p1"/>
        <w:numPr>
          <w:ilvl w:val="0"/>
          <w:numId w:val="14"/>
        </w:numPr>
        <w:rPr>
          <w:rFonts w:ascii="Arial" w:hAnsi="Arial" w:cs="Arial"/>
          <w:sz w:val="22"/>
          <w:szCs w:val="22"/>
        </w:rPr>
      </w:pPr>
      <w:r w:rsidRPr="009766D4">
        <w:rPr>
          <w:rFonts w:ascii="Arial" w:hAnsi="Arial" w:cs="Arial"/>
          <w:sz w:val="22"/>
          <w:szCs w:val="22"/>
        </w:rPr>
        <w:t>Carry out any other reasonable duties in line with the role.</w:t>
      </w:r>
    </w:p>
    <w:p w14:paraId="383C43AB" w14:textId="7F7B6708" w:rsidR="00F517F7" w:rsidRPr="009766D4" w:rsidRDefault="00F517F7" w:rsidP="5CC5646F">
      <w:pPr>
        <w:tabs>
          <w:tab w:val="left" w:pos="457"/>
        </w:tabs>
        <w:rPr>
          <w:rFonts w:ascii="Arial" w:hAnsi="Arial" w:cs="Arial"/>
        </w:rPr>
      </w:pPr>
    </w:p>
    <w:p w14:paraId="6E9208F5" w14:textId="77777777" w:rsidR="00F517F7" w:rsidRPr="009766D4" w:rsidRDefault="00362A0D">
      <w:pPr>
        <w:pStyle w:val="Heading2"/>
        <w:rPr>
          <w:rFonts w:ascii="Arial" w:hAnsi="Arial" w:cs="Arial"/>
          <w:sz w:val="22"/>
          <w:szCs w:val="22"/>
        </w:rPr>
      </w:pPr>
      <w:r w:rsidRPr="009766D4">
        <w:rPr>
          <w:rFonts w:ascii="Arial" w:hAnsi="Arial" w:cs="Arial"/>
          <w:color w:val="EC7C30"/>
          <w:spacing w:val="-2"/>
          <w:w w:val="90"/>
          <w:sz w:val="22"/>
          <w:szCs w:val="22"/>
        </w:rPr>
        <w:t>Person</w:t>
      </w:r>
      <w:r w:rsidRPr="009766D4">
        <w:rPr>
          <w:rFonts w:ascii="Arial" w:hAnsi="Arial" w:cs="Arial"/>
          <w:color w:val="EC7C30"/>
          <w:spacing w:val="-3"/>
          <w:w w:val="90"/>
          <w:sz w:val="22"/>
          <w:szCs w:val="22"/>
        </w:rPr>
        <w:t xml:space="preserve"> </w:t>
      </w:r>
      <w:r w:rsidRPr="009766D4">
        <w:rPr>
          <w:rFonts w:ascii="Arial" w:hAnsi="Arial" w:cs="Arial"/>
          <w:color w:val="EC7C30"/>
          <w:spacing w:val="-2"/>
          <w:w w:val="95"/>
          <w:sz w:val="22"/>
          <w:szCs w:val="22"/>
        </w:rPr>
        <w:t>Specification</w:t>
      </w:r>
    </w:p>
    <w:p w14:paraId="6E9208F6" w14:textId="77777777" w:rsidR="00F517F7" w:rsidRPr="009766D4" w:rsidRDefault="00362A0D">
      <w:pPr>
        <w:pStyle w:val="BodyText"/>
        <w:spacing w:before="182"/>
        <w:ind w:left="100"/>
        <w:jc w:val="both"/>
        <w:rPr>
          <w:rFonts w:ascii="Arial" w:hAnsi="Arial" w:cs="Arial"/>
        </w:rPr>
      </w:pPr>
      <w:r w:rsidRPr="009766D4">
        <w:rPr>
          <w:rFonts w:ascii="Arial" w:hAnsi="Arial" w:cs="Arial"/>
        </w:rPr>
        <w:t>The</w:t>
      </w:r>
      <w:r w:rsidRPr="009766D4">
        <w:rPr>
          <w:rFonts w:ascii="Arial" w:hAnsi="Arial" w:cs="Arial"/>
          <w:spacing w:val="-15"/>
        </w:rPr>
        <w:t xml:space="preserve"> </w:t>
      </w:r>
      <w:r w:rsidRPr="009766D4">
        <w:rPr>
          <w:rFonts w:ascii="Arial" w:hAnsi="Arial" w:cs="Arial"/>
        </w:rPr>
        <w:t>successful</w:t>
      </w:r>
      <w:r w:rsidRPr="009766D4">
        <w:rPr>
          <w:rFonts w:ascii="Arial" w:hAnsi="Arial" w:cs="Arial"/>
          <w:spacing w:val="-16"/>
        </w:rPr>
        <w:t xml:space="preserve"> </w:t>
      </w:r>
      <w:r w:rsidRPr="009766D4">
        <w:rPr>
          <w:rFonts w:ascii="Arial" w:hAnsi="Arial" w:cs="Arial"/>
        </w:rPr>
        <w:t>candidate</w:t>
      </w:r>
      <w:r w:rsidRPr="009766D4">
        <w:rPr>
          <w:rFonts w:ascii="Arial" w:hAnsi="Arial" w:cs="Arial"/>
          <w:spacing w:val="-19"/>
        </w:rPr>
        <w:t xml:space="preserve"> </w:t>
      </w:r>
      <w:r w:rsidRPr="009766D4">
        <w:rPr>
          <w:rFonts w:ascii="Arial" w:hAnsi="Arial" w:cs="Arial"/>
        </w:rPr>
        <w:t>will</w:t>
      </w:r>
      <w:r w:rsidRPr="009766D4">
        <w:rPr>
          <w:rFonts w:ascii="Arial" w:hAnsi="Arial" w:cs="Arial"/>
          <w:spacing w:val="-16"/>
        </w:rPr>
        <w:t xml:space="preserve"> </w:t>
      </w:r>
      <w:r w:rsidRPr="009766D4">
        <w:rPr>
          <w:rFonts w:ascii="Arial" w:hAnsi="Arial" w:cs="Arial"/>
          <w:spacing w:val="-2"/>
        </w:rPr>
        <w:t>demonstrate:</w:t>
      </w:r>
    </w:p>
    <w:p w14:paraId="6E9208F8" w14:textId="77777777" w:rsidR="00F517F7" w:rsidRPr="009766D4" w:rsidRDefault="00F517F7">
      <w:pPr>
        <w:pStyle w:val="BodyText"/>
        <w:spacing w:before="122"/>
        <w:rPr>
          <w:rFonts w:ascii="Arial" w:hAnsi="Arial" w:cs="Arial"/>
        </w:rPr>
      </w:pPr>
    </w:p>
    <w:p w14:paraId="5986EABA" w14:textId="77777777" w:rsidR="009766D4" w:rsidRPr="009766D4" w:rsidRDefault="009766D4" w:rsidP="009766D4">
      <w:pPr>
        <w:pStyle w:val="Heading3"/>
        <w:rPr>
          <w:rFonts w:ascii="Arial" w:eastAsia="Times New Roman" w:hAnsi="Arial" w:cs="Arial"/>
        </w:rPr>
      </w:pPr>
      <w:r w:rsidRPr="009766D4">
        <w:rPr>
          <w:rFonts w:ascii="Arial" w:hAnsi="Arial" w:cs="Arial"/>
        </w:rPr>
        <w:t>Essential</w:t>
      </w:r>
    </w:p>
    <w:p w14:paraId="27E7C574" w14:textId="77777777" w:rsidR="009766D4" w:rsidRPr="009766D4" w:rsidRDefault="009766D4" w:rsidP="009766D4">
      <w:pPr>
        <w:pStyle w:val="p1"/>
        <w:numPr>
          <w:ilvl w:val="0"/>
          <w:numId w:val="15"/>
        </w:numPr>
        <w:rPr>
          <w:rFonts w:ascii="Arial" w:hAnsi="Arial" w:cs="Arial"/>
          <w:sz w:val="22"/>
          <w:szCs w:val="22"/>
        </w:rPr>
      </w:pPr>
      <w:r w:rsidRPr="009766D4">
        <w:rPr>
          <w:rFonts w:ascii="Arial" w:hAnsi="Arial" w:cs="Arial"/>
          <w:sz w:val="22"/>
          <w:szCs w:val="22"/>
        </w:rPr>
        <w:t>Experience in marketing, events coordination, communications, or outreach activities.</w:t>
      </w:r>
    </w:p>
    <w:p w14:paraId="018EAB7E" w14:textId="77777777" w:rsidR="009766D4" w:rsidRPr="009766D4" w:rsidRDefault="009766D4" w:rsidP="009766D4">
      <w:pPr>
        <w:pStyle w:val="p1"/>
        <w:numPr>
          <w:ilvl w:val="0"/>
          <w:numId w:val="15"/>
        </w:numPr>
        <w:rPr>
          <w:rFonts w:ascii="Arial" w:hAnsi="Arial" w:cs="Arial"/>
          <w:sz w:val="22"/>
          <w:szCs w:val="22"/>
        </w:rPr>
      </w:pPr>
      <w:r w:rsidRPr="009766D4">
        <w:rPr>
          <w:rFonts w:ascii="Arial" w:hAnsi="Arial" w:cs="Arial"/>
          <w:sz w:val="22"/>
          <w:szCs w:val="22"/>
        </w:rPr>
        <w:t>Strong organisational and project management skills.</w:t>
      </w:r>
    </w:p>
    <w:p w14:paraId="5955A4AA" w14:textId="77777777" w:rsidR="009766D4" w:rsidRPr="009766D4" w:rsidRDefault="009766D4" w:rsidP="009766D4">
      <w:pPr>
        <w:pStyle w:val="p1"/>
        <w:numPr>
          <w:ilvl w:val="0"/>
          <w:numId w:val="15"/>
        </w:numPr>
        <w:rPr>
          <w:rFonts w:ascii="Arial" w:hAnsi="Arial" w:cs="Arial"/>
          <w:sz w:val="22"/>
          <w:szCs w:val="22"/>
        </w:rPr>
      </w:pPr>
      <w:r w:rsidRPr="009766D4">
        <w:rPr>
          <w:rFonts w:ascii="Arial" w:hAnsi="Arial" w:cs="Arial"/>
          <w:sz w:val="22"/>
          <w:szCs w:val="22"/>
        </w:rPr>
        <w:t>Confident communicator with experience working alongside partners, suppliers, or community groups.</w:t>
      </w:r>
    </w:p>
    <w:p w14:paraId="459AE7D3" w14:textId="77777777" w:rsidR="009766D4" w:rsidRPr="009766D4" w:rsidRDefault="009766D4" w:rsidP="009766D4">
      <w:pPr>
        <w:pStyle w:val="p1"/>
        <w:numPr>
          <w:ilvl w:val="0"/>
          <w:numId w:val="15"/>
        </w:numPr>
        <w:rPr>
          <w:rFonts w:ascii="Arial" w:hAnsi="Arial" w:cs="Arial"/>
          <w:sz w:val="22"/>
          <w:szCs w:val="22"/>
        </w:rPr>
      </w:pPr>
      <w:r w:rsidRPr="009766D4">
        <w:rPr>
          <w:rFonts w:ascii="Arial" w:hAnsi="Arial" w:cs="Arial"/>
          <w:sz w:val="22"/>
          <w:szCs w:val="22"/>
        </w:rPr>
        <w:t>Ability to work across multiple London sites with minimal supervision.</w:t>
      </w:r>
    </w:p>
    <w:p w14:paraId="62BC5554" w14:textId="77777777" w:rsidR="009766D4" w:rsidRPr="009766D4" w:rsidRDefault="009766D4" w:rsidP="009766D4">
      <w:pPr>
        <w:pStyle w:val="p1"/>
        <w:numPr>
          <w:ilvl w:val="0"/>
          <w:numId w:val="15"/>
        </w:numPr>
        <w:rPr>
          <w:rFonts w:ascii="Arial" w:hAnsi="Arial" w:cs="Arial"/>
          <w:sz w:val="22"/>
          <w:szCs w:val="22"/>
        </w:rPr>
      </w:pPr>
      <w:r w:rsidRPr="009766D4">
        <w:rPr>
          <w:rFonts w:ascii="Arial" w:hAnsi="Arial" w:cs="Arial"/>
          <w:sz w:val="22"/>
          <w:szCs w:val="22"/>
        </w:rPr>
        <w:t>Strong attention to detail and commitment to brand consistency.</w:t>
      </w:r>
    </w:p>
    <w:p w14:paraId="6E2262E3" w14:textId="77777777" w:rsidR="009766D4" w:rsidRPr="009766D4" w:rsidRDefault="009766D4" w:rsidP="009766D4">
      <w:pPr>
        <w:pStyle w:val="p1"/>
        <w:numPr>
          <w:ilvl w:val="0"/>
          <w:numId w:val="15"/>
        </w:numPr>
        <w:rPr>
          <w:rFonts w:ascii="Arial" w:hAnsi="Arial" w:cs="Arial"/>
          <w:sz w:val="22"/>
          <w:szCs w:val="22"/>
        </w:rPr>
      </w:pPr>
      <w:r w:rsidRPr="009766D4">
        <w:rPr>
          <w:rFonts w:ascii="Arial" w:hAnsi="Arial" w:cs="Arial"/>
          <w:sz w:val="22"/>
          <w:szCs w:val="22"/>
        </w:rPr>
        <w:t>Ability to manage competing deadlines in a busy service environment.</w:t>
      </w:r>
    </w:p>
    <w:p w14:paraId="38388378" w14:textId="77777777" w:rsidR="009766D4" w:rsidRPr="009766D4" w:rsidRDefault="009766D4" w:rsidP="009766D4">
      <w:pPr>
        <w:pStyle w:val="p1"/>
        <w:numPr>
          <w:ilvl w:val="0"/>
          <w:numId w:val="15"/>
        </w:numPr>
        <w:rPr>
          <w:rFonts w:ascii="Arial" w:hAnsi="Arial" w:cs="Arial"/>
          <w:sz w:val="22"/>
          <w:szCs w:val="22"/>
        </w:rPr>
      </w:pPr>
      <w:r w:rsidRPr="009766D4">
        <w:rPr>
          <w:rFonts w:ascii="Arial" w:hAnsi="Arial" w:cs="Arial"/>
          <w:sz w:val="22"/>
          <w:szCs w:val="22"/>
        </w:rPr>
        <w:t>Collaborative, solutions focused approach.</w:t>
      </w:r>
    </w:p>
    <w:p w14:paraId="6B1866BC" w14:textId="06476586" w:rsidR="009766D4" w:rsidRPr="00D63015" w:rsidRDefault="009766D4" w:rsidP="009766D4">
      <w:pPr>
        <w:pStyle w:val="p1"/>
        <w:numPr>
          <w:ilvl w:val="0"/>
          <w:numId w:val="15"/>
        </w:numPr>
        <w:rPr>
          <w:rFonts w:ascii="Arial" w:hAnsi="Arial" w:cs="Arial"/>
          <w:sz w:val="22"/>
          <w:szCs w:val="22"/>
        </w:rPr>
      </w:pPr>
      <w:r w:rsidRPr="009766D4">
        <w:rPr>
          <w:rFonts w:ascii="Arial" w:hAnsi="Arial" w:cs="Arial"/>
          <w:sz w:val="22"/>
          <w:szCs w:val="22"/>
        </w:rPr>
        <w:t xml:space="preserve">Fluency with </w:t>
      </w:r>
      <w:proofErr w:type="spellStart"/>
      <w:r w:rsidRPr="009766D4">
        <w:rPr>
          <w:rFonts w:ascii="Arial" w:hAnsi="Arial" w:cs="Arial"/>
          <w:sz w:val="22"/>
          <w:szCs w:val="22"/>
        </w:rPr>
        <w:t>ios</w:t>
      </w:r>
      <w:proofErr w:type="spellEnd"/>
      <w:r w:rsidRPr="009766D4">
        <w:rPr>
          <w:rFonts w:ascii="Arial" w:hAnsi="Arial" w:cs="Arial"/>
          <w:sz w:val="22"/>
          <w:szCs w:val="22"/>
        </w:rPr>
        <w:t xml:space="preserve"> </w:t>
      </w:r>
    </w:p>
    <w:p w14:paraId="222A39D4" w14:textId="77777777" w:rsidR="009766D4" w:rsidRPr="009766D4" w:rsidRDefault="009766D4" w:rsidP="009766D4">
      <w:pPr>
        <w:pStyle w:val="Heading3"/>
        <w:rPr>
          <w:rFonts w:ascii="Arial" w:hAnsi="Arial" w:cs="Arial"/>
        </w:rPr>
      </w:pPr>
      <w:r w:rsidRPr="009766D4">
        <w:rPr>
          <w:rFonts w:ascii="Arial" w:hAnsi="Arial" w:cs="Arial"/>
        </w:rPr>
        <w:t>Desirable</w:t>
      </w:r>
    </w:p>
    <w:p w14:paraId="48F93356" w14:textId="77777777" w:rsidR="009766D4" w:rsidRPr="009766D4" w:rsidRDefault="009766D4" w:rsidP="009766D4">
      <w:pPr>
        <w:pStyle w:val="p1"/>
        <w:numPr>
          <w:ilvl w:val="0"/>
          <w:numId w:val="16"/>
        </w:numPr>
        <w:rPr>
          <w:rFonts w:ascii="Arial" w:hAnsi="Arial" w:cs="Arial"/>
          <w:sz w:val="22"/>
          <w:szCs w:val="22"/>
        </w:rPr>
      </w:pPr>
      <w:r w:rsidRPr="009766D4">
        <w:rPr>
          <w:rFonts w:ascii="Arial" w:hAnsi="Arial" w:cs="Arial"/>
          <w:sz w:val="22"/>
          <w:szCs w:val="22"/>
        </w:rPr>
        <w:t>Experience working with design or creative agencies.</w:t>
      </w:r>
    </w:p>
    <w:p w14:paraId="1B33425C" w14:textId="77777777" w:rsidR="009766D4" w:rsidRPr="009766D4" w:rsidRDefault="009766D4" w:rsidP="009766D4">
      <w:pPr>
        <w:pStyle w:val="p1"/>
        <w:numPr>
          <w:ilvl w:val="0"/>
          <w:numId w:val="16"/>
        </w:numPr>
        <w:rPr>
          <w:rFonts w:ascii="Arial" w:hAnsi="Arial" w:cs="Arial"/>
          <w:sz w:val="22"/>
          <w:szCs w:val="22"/>
        </w:rPr>
      </w:pPr>
      <w:r w:rsidRPr="009766D4">
        <w:rPr>
          <w:rFonts w:ascii="Arial" w:hAnsi="Arial" w:cs="Arial"/>
          <w:sz w:val="22"/>
          <w:szCs w:val="22"/>
        </w:rPr>
        <w:t>Knowledge of community outreach in a London context.</w:t>
      </w:r>
    </w:p>
    <w:p w14:paraId="18858E47" w14:textId="77777777" w:rsidR="009766D4" w:rsidRPr="009766D4" w:rsidRDefault="009766D4" w:rsidP="009766D4">
      <w:pPr>
        <w:pStyle w:val="p1"/>
        <w:numPr>
          <w:ilvl w:val="0"/>
          <w:numId w:val="16"/>
        </w:numPr>
        <w:rPr>
          <w:rFonts w:ascii="Arial" w:hAnsi="Arial" w:cs="Arial"/>
          <w:sz w:val="22"/>
          <w:szCs w:val="22"/>
        </w:rPr>
      </w:pPr>
      <w:r w:rsidRPr="009766D4">
        <w:rPr>
          <w:rFonts w:ascii="Arial" w:hAnsi="Arial" w:cs="Arial"/>
          <w:sz w:val="22"/>
          <w:szCs w:val="22"/>
        </w:rPr>
        <w:t>Experience in charity, public sector, or social impact services.</w:t>
      </w:r>
    </w:p>
    <w:p w14:paraId="56AFFEE0" w14:textId="77777777" w:rsidR="009766D4" w:rsidRPr="009766D4" w:rsidRDefault="009766D4" w:rsidP="009766D4">
      <w:pPr>
        <w:pStyle w:val="p1"/>
        <w:numPr>
          <w:ilvl w:val="0"/>
          <w:numId w:val="16"/>
        </w:numPr>
        <w:rPr>
          <w:rFonts w:ascii="Arial" w:hAnsi="Arial" w:cs="Arial"/>
          <w:sz w:val="22"/>
          <w:szCs w:val="22"/>
        </w:rPr>
      </w:pPr>
      <w:r w:rsidRPr="009766D4">
        <w:rPr>
          <w:rFonts w:ascii="Arial" w:hAnsi="Arial" w:cs="Arial"/>
          <w:sz w:val="22"/>
          <w:szCs w:val="22"/>
        </w:rPr>
        <w:t>Ability to use engagement data to support decision making.</w:t>
      </w:r>
    </w:p>
    <w:p w14:paraId="6E92090A" w14:textId="64FBA721" w:rsidR="00F517F7" w:rsidRPr="003C31D6" w:rsidRDefault="009766D4" w:rsidP="009766D4">
      <w:pPr>
        <w:pStyle w:val="p1"/>
        <w:numPr>
          <w:ilvl w:val="0"/>
          <w:numId w:val="16"/>
        </w:numPr>
        <w:rPr>
          <w:rFonts w:ascii="Arial" w:hAnsi="Arial" w:cs="Arial"/>
          <w:sz w:val="22"/>
          <w:szCs w:val="22"/>
        </w:rPr>
      </w:pPr>
      <w:r w:rsidRPr="009766D4">
        <w:rPr>
          <w:rFonts w:ascii="Arial" w:hAnsi="Arial" w:cs="Arial"/>
          <w:sz w:val="22"/>
          <w:szCs w:val="22"/>
        </w:rPr>
        <w:t>Experience in event logistics, public engagement, or promotional activity.</w:t>
      </w:r>
    </w:p>
    <w:sectPr w:rsidR="00F517F7" w:rsidRPr="003C31D6">
      <w:headerReference w:type="default" r:id="rId10"/>
      <w:footerReference w:type="default" r:id="rId11"/>
      <w:pgSz w:w="12240" w:h="15840"/>
      <w:pgMar w:top="1880" w:right="1320" w:bottom="1080" w:left="1340" w:header="72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4B8A9" w14:textId="77777777" w:rsidR="00E24864" w:rsidRDefault="00E24864">
      <w:r>
        <w:separator/>
      </w:r>
    </w:p>
  </w:endnote>
  <w:endnote w:type="continuationSeparator" w:id="0">
    <w:p w14:paraId="514B128F" w14:textId="77777777" w:rsidR="00E24864" w:rsidRDefault="00E24864">
      <w:r>
        <w:continuationSeparator/>
      </w:r>
    </w:p>
  </w:endnote>
  <w:endnote w:type="continuationNotice" w:id="1">
    <w:p w14:paraId="3A8C6DC1" w14:textId="77777777" w:rsidR="00E24864" w:rsidRDefault="00E24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090C" w14:textId="1846183A" w:rsidR="00F517F7" w:rsidRDefault="00F517F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A4250" w14:textId="77777777" w:rsidR="00E24864" w:rsidRDefault="00E24864">
      <w:r>
        <w:separator/>
      </w:r>
    </w:p>
  </w:footnote>
  <w:footnote w:type="continuationSeparator" w:id="0">
    <w:p w14:paraId="7234ACC8" w14:textId="77777777" w:rsidR="00E24864" w:rsidRDefault="00E24864">
      <w:r>
        <w:continuationSeparator/>
      </w:r>
    </w:p>
  </w:footnote>
  <w:footnote w:type="continuationNotice" w:id="1">
    <w:p w14:paraId="39FFCF8D" w14:textId="77777777" w:rsidR="00E24864" w:rsidRDefault="00E248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FA86" w14:textId="0BD2285D" w:rsidR="00462F08" w:rsidRDefault="00462F08" w:rsidP="00462F08">
    <w:pPr>
      <w:keepNext/>
      <w:keepLines/>
      <w:autoSpaceDE/>
      <w:autoSpaceDN/>
      <w:spacing w:before="20" w:after="80"/>
      <w:ind w:right="23"/>
      <w:outlineLvl w:val="0"/>
      <w:rPr>
        <w:rFonts w:ascii="Arial" w:eastAsia="Arial" w:hAnsi="Arial" w:cs="Arial"/>
        <w:color w:val="EC7C30"/>
        <w:lang w:val="en-GB" w:eastAsia="ja-JP"/>
      </w:rPr>
    </w:pPr>
    <w:r w:rsidRPr="00462F08">
      <w:rPr>
        <w:rFonts w:ascii="Arial" w:eastAsia="Times New Roman" w:hAnsi="Arial" w:cs="Arial"/>
        <w:b/>
        <w:noProof/>
        <w:color w:val="0F4761"/>
        <w:lang w:eastAsia="ja-JP"/>
      </w:rPr>
      <w:drawing>
        <wp:anchor distT="0" distB="0" distL="114300" distR="114300" simplePos="0" relativeHeight="251659264" behindDoc="1" locked="0" layoutInCell="1" allowOverlap="1" wp14:anchorId="4400C357" wp14:editId="6C52B0C7">
          <wp:simplePos x="0" y="0"/>
          <wp:positionH relativeFrom="column">
            <wp:posOffset>3414395</wp:posOffset>
          </wp:positionH>
          <wp:positionV relativeFrom="paragraph">
            <wp:posOffset>-9823</wp:posOffset>
          </wp:positionV>
          <wp:extent cx="2385695" cy="426085"/>
          <wp:effectExtent l="0" t="0" r="0" b="5715"/>
          <wp:wrapTight wrapText="bothSides">
            <wp:wrapPolygon edited="0">
              <wp:start x="1150" y="0"/>
              <wp:lineTo x="0" y="3219"/>
              <wp:lineTo x="0" y="16095"/>
              <wp:lineTo x="805" y="20602"/>
              <wp:lineTo x="1150" y="21246"/>
              <wp:lineTo x="2645" y="21246"/>
              <wp:lineTo x="20582" y="20602"/>
              <wp:lineTo x="21042" y="15452"/>
              <wp:lineTo x="17938" y="10301"/>
              <wp:lineTo x="18168" y="1288"/>
              <wp:lineTo x="17248" y="644"/>
              <wp:lineTo x="2645" y="0"/>
              <wp:lineTo x="1150" y="0"/>
            </wp:wrapPolygon>
          </wp:wrapTight>
          <wp:docPr id="26240259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32099" name="Picture 1" descr="A black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5695" cy="426085"/>
                  </a:xfrm>
                  <a:prstGeom prst="rect">
                    <a:avLst/>
                  </a:prstGeom>
                </pic:spPr>
              </pic:pic>
            </a:graphicData>
          </a:graphic>
          <wp14:sizeRelH relativeFrom="page">
            <wp14:pctWidth>0</wp14:pctWidth>
          </wp14:sizeRelH>
          <wp14:sizeRelV relativeFrom="page">
            <wp14:pctHeight>0</wp14:pctHeight>
          </wp14:sizeRelV>
        </wp:anchor>
      </w:drawing>
    </w:r>
    <w:r w:rsidRPr="00462F08">
      <w:rPr>
        <w:rFonts w:ascii="Arial" w:eastAsia="Arial" w:hAnsi="Arial" w:cs="Arial"/>
        <w:b/>
        <w:bCs/>
        <w:color w:val="EC7C30"/>
        <w:sz w:val="28"/>
        <w:szCs w:val="28"/>
        <w:lang w:val="en-GB" w:eastAsia="ja-JP"/>
      </w:rPr>
      <w:t>Job Description:</w:t>
    </w:r>
    <w:r w:rsidRPr="00462F08">
      <w:rPr>
        <w:rFonts w:ascii="Arial" w:eastAsia="Times New Roman" w:hAnsi="Arial" w:cs="Arial"/>
        <w:b/>
        <w:bCs/>
        <w:noProof/>
        <w:color w:val="0F4761"/>
        <w:lang w:eastAsia="ja-JP"/>
      </w:rPr>
      <w:t xml:space="preserve"> </w:t>
    </w:r>
  </w:p>
  <w:p w14:paraId="584DD041" w14:textId="56AC19D5" w:rsidR="00462F08" w:rsidRPr="001411E8" w:rsidRDefault="00726EBD" w:rsidP="001411E8">
    <w:pPr>
      <w:keepNext/>
      <w:keepLines/>
      <w:autoSpaceDE/>
      <w:autoSpaceDN/>
      <w:spacing w:before="20" w:after="80"/>
      <w:ind w:right="23"/>
      <w:outlineLvl w:val="0"/>
      <w:rPr>
        <w:rFonts w:ascii="Arial" w:eastAsia="Arial" w:hAnsi="Arial" w:cs="Arial"/>
        <w:color w:val="EC7C30"/>
        <w:lang w:val="en-GB" w:eastAsia="ja-JP"/>
      </w:rPr>
    </w:pPr>
    <w:r>
      <w:rPr>
        <w:rFonts w:ascii="Arial" w:eastAsia="Arial" w:hAnsi="Arial" w:cs="Arial"/>
        <w:color w:val="EC7C30"/>
        <w:lang w:val="en-GB" w:eastAsia="ja-JP"/>
      </w:rPr>
      <w:t>Marketing Coordinator</w:t>
    </w:r>
  </w:p>
  <w:p w14:paraId="3C3B24D5" w14:textId="77777777" w:rsidR="00462F08" w:rsidRPr="00462F08" w:rsidRDefault="00462F08" w:rsidP="00462F08">
    <w:pPr>
      <w:widowControl/>
      <w:tabs>
        <w:tab w:val="center" w:pos="4513"/>
        <w:tab w:val="right" w:pos="9026"/>
      </w:tabs>
      <w:autoSpaceDE/>
      <w:autoSpaceDN/>
      <w:jc w:val="right"/>
      <w:rPr>
        <w:rFonts w:ascii="Aptos" w:eastAsia="Times New Roman" w:hAnsi="Aptos" w:cs="Times New Roman"/>
        <w:sz w:val="24"/>
        <w:szCs w:val="24"/>
        <w:lang w:val="en-GB" w:eastAsia="ja-JP"/>
      </w:rPr>
    </w:pPr>
    <w:r w:rsidRPr="00462F08">
      <w:rPr>
        <w:rFonts w:ascii="Aptos" w:eastAsia="Times New Roman" w:hAnsi="Aptos" w:cs="Times New Roman"/>
        <w:noProof/>
        <w:sz w:val="24"/>
        <w:szCs w:val="24"/>
        <w:lang w:val="en-GB" w:eastAsia="ja-JP"/>
      </w:rPr>
      <mc:AlternateContent>
        <mc:Choice Requires="wps">
          <w:drawing>
            <wp:anchor distT="0" distB="0" distL="114300" distR="114300" simplePos="0" relativeHeight="251660288" behindDoc="0" locked="0" layoutInCell="1" allowOverlap="1" wp14:anchorId="3B54A9C5" wp14:editId="3A01BE90">
              <wp:simplePos x="0" y="0"/>
              <wp:positionH relativeFrom="column">
                <wp:posOffset>9728</wp:posOffset>
              </wp:positionH>
              <wp:positionV relativeFrom="paragraph">
                <wp:posOffset>75052</wp:posOffset>
              </wp:positionV>
              <wp:extent cx="5790376" cy="0"/>
              <wp:effectExtent l="0" t="0" r="13970" b="12700"/>
              <wp:wrapNone/>
              <wp:docPr id="719331708" name="Straight Connector 1"/>
              <wp:cNvGraphicFramePr/>
              <a:graphic xmlns:a="http://schemas.openxmlformats.org/drawingml/2006/main">
                <a:graphicData uri="http://schemas.microsoft.com/office/word/2010/wordprocessingShape">
                  <wps:wsp>
                    <wps:cNvCnPr/>
                    <wps:spPr>
                      <a:xfrm>
                        <a:off x="0" y="0"/>
                        <a:ext cx="5790376" cy="0"/>
                      </a:xfrm>
                      <a:prstGeom prst="line">
                        <a:avLst/>
                      </a:prstGeom>
                      <a:noFill/>
                      <a:ln w="9525" cap="flat" cmpd="sng" algn="ctr">
                        <a:solidFill>
                          <a:srgbClr val="E97132"/>
                        </a:solidFill>
                        <a:prstDash val="solid"/>
                        <a:miter lim="800000"/>
                      </a:ln>
                      <a:effectLst/>
                    </wps:spPr>
                    <wps:bodyPr/>
                  </wps:wsp>
                </a:graphicData>
              </a:graphic>
            </wp:anchor>
          </w:drawing>
        </mc:Choice>
        <mc:Fallback>
          <w:pict>
            <v:line w14:anchorId="2D203EB2"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5.9pt" to="456.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" strokecolor="#e97132">
              <v:stroke joinstyle="miter"/>
            </v:line>
          </w:pict>
        </mc:Fallback>
      </mc:AlternateContent>
    </w:r>
  </w:p>
  <w:p w14:paraId="6E92090B" w14:textId="7769CD50" w:rsidR="00F517F7" w:rsidRPr="00462F08" w:rsidRDefault="00F517F7">
    <w:pPr>
      <w:pStyle w:val="BodyText"/>
      <w:spacing w:line="14" w:lineRule="auto"/>
      <w:rPr>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94A54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E3E88"/>
    <w:multiLevelType w:val="multilevel"/>
    <w:tmpl w:val="3758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16F2F"/>
    <w:multiLevelType w:val="multilevel"/>
    <w:tmpl w:val="4DE6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37F1F"/>
    <w:multiLevelType w:val="hybridMultilevel"/>
    <w:tmpl w:val="544C3DBA"/>
    <w:lvl w:ilvl="0" w:tplc="87146ECA">
      <w:numFmt w:val="bullet"/>
      <w:lvlText w:val=""/>
      <w:lvlJc w:val="left"/>
      <w:pPr>
        <w:ind w:left="460" w:hanging="360"/>
      </w:pPr>
      <w:rPr>
        <w:rFonts w:ascii="Symbol" w:eastAsia="Symbol" w:hAnsi="Symbol" w:cs="Symbol" w:hint="default"/>
        <w:b w:val="0"/>
        <w:bCs w:val="0"/>
        <w:i w:val="0"/>
        <w:iCs w:val="0"/>
        <w:spacing w:val="0"/>
        <w:w w:val="100"/>
        <w:sz w:val="22"/>
        <w:szCs w:val="22"/>
        <w:lang w:val="en-US" w:eastAsia="en-US" w:bidi="ar-SA"/>
      </w:rPr>
    </w:lvl>
    <w:lvl w:ilvl="1" w:tplc="DE54FCB6">
      <w:numFmt w:val="bullet"/>
      <w:lvlText w:val=""/>
      <w:lvlJc w:val="left"/>
      <w:pPr>
        <w:ind w:left="820" w:hanging="360"/>
      </w:pPr>
      <w:rPr>
        <w:rFonts w:ascii="Symbol" w:eastAsia="Symbol" w:hAnsi="Symbol" w:cs="Symbol" w:hint="default"/>
        <w:b w:val="0"/>
        <w:bCs w:val="0"/>
        <w:i w:val="0"/>
        <w:iCs w:val="0"/>
        <w:spacing w:val="0"/>
        <w:w w:val="99"/>
        <w:sz w:val="22"/>
        <w:szCs w:val="22"/>
        <w:lang w:val="en-US" w:eastAsia="en-US" w:bidi="ar-SA"/>
      </w:rPr>
    </w:lvl>
    <w:lvl w:ilvl="2" w:tplc="59E2CF72">
      <w:numFmt w:val="bullet"/>
      <w:lvlText w:val="•"/>
      <w:lvlJc w:val="left"/>
      <w:pPr>
        <w:ind w:left="1793" w:hanging="360"/>
      </w:pPr>
      <w:rPr>
        <w:rFonts w:hint="default"/>
        <w:lang w:val="en-US" w:eastAsia="en-US" w:bidi="ar-SA"/>
      </w:rPr>
    </w:lvl>
    <w:lvl w:ilvl="3" w:tplc="DD2EE10C">
      <w:numFmt w:val="bullet"/>
      <w:lvlText w:val="•"/>
      <w:lvlJc w:val="left"/>
      <w:pPr>
        <w:ind w:left="2766" w:hanging="360"/>
      </w:pPr>
      <w:rPr>
        <w:rFonts w:hint="default"/>
        <w:lang w:val="en-US" w:eastAsia="en-US" w:bidi="ar-SA"/>
      </w:rPr>
    </w:lvl>
    <w:lvl w:ilvl="4" w:tplc="486CCCCA">
      <w:numFmt w:val="bullet"/>
      <w:lvlText w:val="•"/>
      <w:lvlJc w:val="left"/>
      <w:pPr>
        <w:ind w:left="3740" w:hanging="360"/>
      </w:pPr>
      <w:rPr>
        <w:rFonts w:hint="default"/>
        <w:lang w:val="en-US" w:eastAsia="en-US" w:bidi="ar-SA"/>
      </w:rPr>
    </w:lvl>
    <w:lvl w:ilvl="5" w:tplc="F8465D68">
      <w:numFmt w:val="bullet"/>
      <w:lvlText w:val="•"/>
      <w:lvlJc w:val="left"/>
      <w:pPr>
        <w:ind w:left="4713" w:hanging="360"/>
      </w:pPr>
      <w:rPr>
        <w:rFonts w:hint="default"/>
        <w:lang w:val="en-US" w:eastAsia="en-US" w:bidi="ar-SA"/>
      </w:rPr>
    </w:lvl>
    <w:lvl w:ilvl="6" w:tplc="C2EED0E8">
      <w:numFmt w:val="bullet"/>
      <w:lvlText w:val="•"/>
      <w:lvlJc w:val="left"/>
      <w:pPr>
        <w:ind w:left="5686" w:hanging="360"/>
      </w:pPr>
      <w:rPr>
        <w:rFonts w:hint="default"/>
        <w:lang w:val="en-US" w:eastAsia="en-US" w:bidi="ar-SA"/>
      </w:rPr>
    </w:lvl>
    <w:lvl w:ilvl="7" w:tplc="E53A6A0A">
      <w:numFmt w:val="bullet"/>
      <w:lvlText w:val="•"/>
      <w:lvlJc w:val="left"/>
      <w:pPr>
        <w:ind w:left="6660" w:hanging="360"/>
      </w:pPr>
      <w:rPr>
        <w:rFonts w:hint="default"/>
        <w:lang w:val="en-US" w:eastAsia="en-US" w:bidi="ar-SA"/>
      </w:rPr>
    </w:lvl>
    <w:lvl w:ilvl="8" w:tplc="7C9854D8">
      <w:numFmt w:val="bullet"/>
      <w:lvlText w:val="•"/>
      <w:lvlJc w:val="left"/>
      <w:pPr>
        <w:ind w:left="7633" w:hanging="360"/>
      </w:pPr>
      <w:rPr>
        <w:rFonts w:hint="default"/>
        <w:lang w:val="en-US" w:eastAsia="en-US" w:bidi="ar-SA"/>
      </w:rPr>
    </w:lvl>
  </w:abstractNum>
  <w:abstractNum w:abstractNumId="4" w15:restartNumberingAfterBreak="0">
    <w:nsid w:val="269A3ED0"/>
    <w:multiLevelType w:val="hybridMultilevel"/>
    <w:tmpl w:val="091E1F76"/>
    <w:lvl w:ilvl="0" w:tplc="4DA62B9C">
      <w:start w:val="1"/>
      <w:numFmt w:val="bullet"/>
      <w:lvlText w:val=""/>
      <w:lvlJc w:val="left"/>
      <w:pPr>
        <w:ind w:left="720" w:hanging="360"/>
      </w:pPr>
      <w:rPr>
        <w:rFonts w:ascii="Symbol" w:hAnsi="Symbol" w:hint="default"/>
      </w:rPr>
    </w:lvl>
    <w:lvl w:ilvl="1" w:tplc="7920309E">
      <w:start w:val="1"/>
      <w:numFmt w:val="bullet"/>
      <w:lvlText w:val="o"/>
      <w:lvlJc w:val="left"/>
      <w:pPr>
        <w:ind w:left="1440" w:hanging="360"/>
      </w:pPr>
      <w:rPr>
        <w:rFonts w:ascii="Courier New" w:hAnsi="Courier New" w:hint="default"/>
      </w:rPr>
    </w:lvl>
    <w:lvl w:ilvl="2" w:tplc="83D29DA6">
      <w:start w:val="1"/>
      <w:numFmt w:val="bullet"/>
      <w:lvlText w:val=""/>
      <w:lvlJc w:val="left"/>
      <w:pPr>
        <w:ind w:left="2160" w:hanging="360"/>
      </w:pPr>
      <w:rPr>
        <w:rFonts w:ascii="Wingdings" w:hAnsi="Wingdings" w:hint="default"/>
      </w:rPr>
    </w:lvl>
    <w:lvl w:ilvl="3" w:tplc="7D1ACC58">
      <w:start w:val="1"/>
      <w:numFmt w:val="bullet"/>
      <w:lvlText w:val=""/>
      <w:lvlJc w:val="left"/>
      <w:pPr>
        <w:ind w:left="2880" w:hanging="360"/>
      </w:pPr>
      <w:rPr>
        <w:rFonts w:ascii="Symbol" w:hAnsi="Symbol" w:hint="default"/>
      </w:rPr>
    </w:lvl>
    <w:lvl w:ilvl="4" w:tplc="09289A64">
      <w:start w:val="1"/>
      <w:numFmt w:val="bullet"/>
      <w:lvlText w:val="o"/>
      <w:lvlJc w:val="left"/>
      <w:pPr>
        <w:ind w:left="3600" w:hanging="360"/>
      </w:pPr>
      <w:rPr>
        <w:rFonts w:ascii="Courier New" w:hAnsi="Courier New" w:hint="default"/>
      </w:rPr>
    </w:lvl>
    <w:lvl w:ilvl="5" w:tplc="7632EC68">
      <w:start w:val="1"/>
      <w:numFmt w:val="bullet"/>
      <w:lvlText w:val=""/>
      <w:lvlJc w:val="left"/>
      <w:pPr>
        <w:ind w:left="4320" w:hanging="360"/>
      </w:pPr>
      <w:rPr>
        <w:rFonts w:ascii="Wingdings" w:hAnsi="Wingdings" w:hint="default"/>
      </w:rPr>
    </w:lvl>
    <w:lvl w:ilvl="6" w:tplc="F6944EEC">
      <w:start w:val="1"/>
      <w:numFmt w:val="bullet"/>
      <w:lvlText w:val=""/>
      <w:lvlJc w:val="left"/>
      <w:pPr>
        <w:ind w:left="5040" w:hanging="360"/>
      </w:pPr>
      <w:rPr>
        <w:rFonts w:ascii="Symbol" w:hAnsi="Symbol" w:hint="default"/>
      </w:rPr>
    </w:lvl>
    <w:lvl w:ilvl="7" w:tplc="1E8C439A">
      <w:start w:val="1"/>
      <w:numFmt w:val="bullet"/>
      <w:lvlText w:val="o"/>
      <w:lvlJc w:val="left"/>
      <w:pPr>
        <w:ind w:left="5760" w:hanging="360"/>
      </w:pPr>
      <w:rPr>
        <w:rFonts w:ascii="Courier New" w:hAnsi="Courier New" w:hint="default"/>
      </w:rPr>
    </w:lvl>
    <w:lvl w:ilvl="8" w:tplc="DFD0B080">
      <w:start w:val="1"/>
      <w:numFmt w:val="bullet"/>
      <w:lvlText w:val=""/>
      <w:lvlJc w:val="left"/>
      <w:pPr>
        <w:ind w:left="6480" w:hanging="360"/>
      </w:pPr>
      <w:rPr>
        <w:rFonts w:ascii="Wingdings" w:hAnsi="Wingdings" w:hint="default"/>
      </w:rPr>
    </w:lvl>
  </w:abstractNum>
  <w:abstractNum w:abstractNumId="5" w15:restartNumberingAfterBreak="0">
    <w:nsid w:val="362F54FA"/>
    <w:multiLevelType w:val="multilevel"/>
    <w:tmpl w:val="7A5A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36DAA"/>
    <w:multiLevelType w:val="hybridMultilevel"/>
    <w:tmpl w:val="39B2F54C"/>
    <w:lvl w:ilvl="0" w:tplc="BCD0F1BC">
      <w:start w:val="8"/>
      <w:numFmt w:val="bullet"/>
      <w:lvlText w:val="-"/>
      <w:lvlJc w:val="left"/>
      <w:pPr>
        <w:ind w:left="820" w:hanging="360"/>
      </w:pPr>
      <w:rPr>
        <w:rFonts w:ascii="Arial" w:eastAsia="Tahoma"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4F2F7C67"/>
    <w:multiLevelType w:val="hybridMultilevel"/>
    <w:tmpl w:val="8D28B92A"/>
    <w:lvl w:ilvl="0" w:tplc="C42C3D5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FF07DE1"/>
    <w:multiLevelType w:val="multilevel"/>
    <w:tmpl w:val="CD24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C93EC9"/>
    <w:multiLevelType w:val="multilevel"/>
    <w:tmpl w:val="E2F6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4559B"/>
    <w:multiLevelType w:val="multilevel"/>
    <w:tmpl w:val="A060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582C65"/>
    <w:multiLevelType w:val="hybridMultilevel"/>
    <w:tmpl w:val="A3D46A22"/>
    <w:lvl w:ilvl="0" w:tplc="C42C3D5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35D7D62"/>
    <w:multiLevelType w:val="hybridMultilevel"/>
    <w:tmpl w:val="FF26EEBE"/>
    <w:lvl w:ilvl="0" w:tplc="B896EC74">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B0B0EE72">
      <w:numFmt w:val="bullet"/>
      <w:lvlText w:val="•"/>
      <w:lvlJc w:val="left"/>
      <w:pPr>
        <w:ind w:left="1696" w:hanging="360"/>
      </w:pPr>
      <w:rPr>
        <w:rFonts w:hint="default"/>
        <w:lang w:val="en-US" w:eastAsia="en-US" w:bidi="ar-SA"/>
      </w:rPr>
    </w:lvl>
    <w:lvl w:ilvl="2" w:tplc="42F29A5C">
      <w:numFmt w:val="bullet"/>
      <w:lvlText w:val="•"/>
      <w:lvlJc w:val="left"/>
      <w:pPr>
        <w:ind w:left="2572" w:hanging="360"/>
      </w:pPr>
      <w:rPr>
        <w:rFonts w:hint="default"/>
        <w:lang w:val="en-US" w:eastAsia="en-US" w:bidi="ar-SA"/>
      </w:rPr>
    </w:lvl>
    <w:lvl w:ilvl="3" w:tplc="2FC61D7E">
      <w:numFmt w:val="bullet"/>
      <w:lvlText w:val="•"/>
      <w:lvlJc w:val="left"/>
      <w:pPr>
        <w:ind w:left="3448" w:hanging="360"/>
      </w:pPr>
      <w:rPr>
        <w:rFonts w:hint="default"/>
        <w:lang w:val="en-US" w:eastAsia="en-US" w:bidi="ar-SA"/>
      </w:rPr>
    </w:lvl>
    <w:lvl w:ilvl="4" w:tplc="F5066D12">
      <w:numFmt w:val="bullet"/>
      <w:lvlText w:val="•"/>
      <w:lvlJc w:val="left"/>
      <w:pPr>
        <w:ind w:left="4324" w:hanging="360"/>
      </w:pPr>
      <w:rPr>
        <w:rFonts w:hint="default"/>
        <w:lang w:val="en-US" w:eastAsia="en-US" w:bidi="ar-SA"/>
      </w:rPr>
    </w:lvl>
    <w:lvl w:ilvl="5" w:tplc="CE2621C8">
      <w:numFmt w:val="bullet"/>
      <w:lvlText w:val="•"/>
      <w:lvlJc w:val="left"/>
      <w:pPr>
        <w:ind w:left="5200" w:hanging="360"/>
      </w:pPr>
      <w:rPr>
        <w:rFonts w:hint="default"/>
        <w:lang w:val="en-US" w:eastAsia="en-US" w:bidi="ar-SA"/>
      </w:rPr>
    </w:lvl>
    <w:lvl w:ilvl="6" w:tplc="3AA4F112">
      <w:numFmt w:val="bullet"/>
      <w:lvlText w:val="•"/>
      <w:lvlJc w:val="left"/>
      <w:pPr>
        <w:ind w:left="6076" w:hanging="360"/>
      </w:pPr>
      <w:rPr>
        <w:rFonts w:hint="default"/>
        <w:lang w:val="en-US" w:eastAsia="en-US" w:bidi="ar-SA"/>
      </w:rPr>
    </w:lvl>
    <w:lvl w:ilvl="7" w:tplc="DE029188">
      <w:numFmt w:val="bullet"/>
      <w:lvlText w:val="•"/>
      <w:lvlJc w:val="left"/>
      <w:pPr>
        <w:ind w:left="6952" w:hanging="360"/>
      </w:pPr>
      <w:rPr>
        <w:rFonts w:hint="default"/>
        <w:lang w:val="en-US" w:eastAsia="en-US" w:bidi="ar-SA"/>
      </w:rPr>
    </w:lvl>
    <w:lvl w:ilvl="8" w:tplc="7928810C">
      <w:numFmt w:val="bullet"/>
      <w:lvlText w:val="•"/>
      <w:lvlJc w:val="left"/>
      <w:pPr>
        <w:ind w:left="7828" w:hanging="360"/>
      </w:pPr>
      <w:rPr>
        <w:rFonts w:hint="default"/>
        <w:lang w:val="en-US" w:eastAsia="en-US" w:bidi="ar-SA"/>
      </w:rPr>
    </w:lvl>
  </w:abstractNum>
  <w:abstractNum w:abstractNumId="13" w15:restartNumberingAfterBreak="0">
    <w:nsid w:val="786454FC"/>
    <w:multiLevelType w:val="multilevel"/>
    <w:tmpl w:val="3586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277098"/>
    <w:multiLevelType w:val="hybridMultilevel"/>
    <w:tmpl w:val="8A1CFD74"/>
    <w:lvl w:ilvl="0" w:tplc="0FB2A706">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42EE3AC4">
      <w:numFmt w:val="bullet"/>
      <w:lvlText w:val="•"/>
      <w:lvlJc w:val="left"/>
      <w:pPr>
        <w:ind w:left="1696" w:hanging="360"/>
      </w:pPr>
      <w:rPr>
        <w:rFonts w:hint="default"/>
        <w:lang w:val="en-US" w:eastAsia="en-US" w:bidi="ar-SA"/>
      </w:rPr>
    </w:lvl>
    <w:lvl w:ilvl="2" w:tplc="BA283C30">
      <w:numFmt w:val="bullet"/>
      <w:lvlText w:val="•"/>
      <w:lvlJc w:val="left"/>
      <w:pPr>
        <w:ind w:left="2572" w:hanging="360"/>
      </w:pPr>
      <w:rPr>
        <w:rFonts w:hint="default"/>
        <w:lang w:val="en-US" w:eastAsia="en-US" w:bidi="ar-SA"/>
      </w:rPr>
    </w:lvl>
    <w:lvl w:ilvl="3" w:tplc="8188B266">
      <w:numFmt w:val="bullet"/>
      <w:lvlText w:val="•"/>
      <w:lvlJc w:val="left"/>
      <w:pPr>
        <w:ind w:left="3448" w:hanging="360"/>
      </w:pPr>
      <w:rPr>
        <w:rFonts w:hint="default"/>
        <w:lang w:val="en-US" w:eastAsia="en-US" w:bidi="ar-SA"/>
      </w:rPr>
    </w:lvl>
    <w:lvl w:ilvl="4" w:tplc="87D8E472">
      <w:numFmt w:val="bullet"/>
      <w:lvlText w:val="•"/>
      <w:lvlJc w:val="left"/>
      <w:pPr>
        <w:ind w:left="4324" w:hanging="360"/>
      </w:pPr>
      <w:rPr>
        <w:rFonts w:hint="default"/>
        <w:lang w:val="en-US" w:eastAsia="en-US" w:bidi="ar-SA"/>
      </w:rPr>
    </w:lvl>
    <w:lvl w:ilvl="5" w:tplc="8902B08A">
      <w:numFmt w:val="bullet"/>
      <w:lvlText w:val="•"/>
      <w:lvlJc w:val="left"/>
      <w:pPr>
        <w:ind w:left="5200" w:hanging="360"/>
      </w:pPr>
      <w:rPr>
        <w:rFonts w:hint="default"/>
        <w:lang w:val="en-US" w:eastAsia="en-US" w:bidi="ar-SA"/>
      </w:rPr>
    </w:lvl>
    <w:lvl w:ilvl="6" w:tplc="358484CE">
      <w:numFmt w:val="bullet"/>
      <w:lvlText w:val="•"/>
      <w:lvlJc w:val="left"/>
      <w:pPr>
        <w:ind w:left="6076" w:hanging="360"/>
      </w:pPr>
      <w:rPr>
        <w:rFonts w:hint="default"/>
        <w:lang w:val="en-US" w:eastAsia="en-US" w:bidi="ar-SA"/>
      </w:rPr>
    </w:lvl>
    <w:lvl w:ilvl="7" w:tplc="350EC4AC">
      <w:numFmt w:val="bullet"/>
      <w:lvlText w:val="•"/>
      <w:lvlJc w:val="left"/>
      <w:pPr>
        <w:ind w:left="6952" w:hanging="360"/>
      </w:pPr>
      <w:rPr>
        <w:rFonts w:hint="default"/>
        <w:lang w:val="en-US" w:eastAsia="en-US" w:bidi="ar-SA"/>
      </w:rPr>
    </w:lvl>
    <w:lvl w:ilvl="8" w:tplc="85DCC884">
      <w:numFmt w:val="bullet"/>
      <w:lvlText w:val="•"/>
      <w:lvlJc w:val="left"/>
      <w:pPr>
        <w:ind w:left="7828" w:hanging="360"/>
      </w:pPr>
      <w:rPr>
        <w:rFonts w:hint="default"/>
        <w:lang w:val="en-US" w:eastAsia="en-US" w:bidi="ar-SA"/>
      </w:rPr>
    </w:lvl>
  </w:abstractNum>
  <w:abstractNum w:abstractNumId="15" w15:restartNumberingAfterBreak="0">
    <w:nsid w:val="7D8A7525"/>
    <w:multiLevelType w:val="multilevel"/>
    <w:tmpl w:val="B600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3301937">
    <w:abstractNumId w:val="12"/>
  </w:num>
  <w:num w:numId="2" w16cid:durableId="289868269">
    <w:abstractNumId w:val="3"/>
  </w:num>
  <w:num w:numId="3" w16cid:durableId="767964195">
    <w:abstractNumId w:val="14"/>
  </w:num>
  <w:num w:numId="4" w16cid:durableId="322003543">
    <w:abstractNumId w:val="11"/>
  </w:num>
  <w:num w:numId="5" w16cid:durableId="1581526180">
    <w:abstractNumId w:val="7"/>
  </w:num>
  <w:num w:numId="6" w16cid:durableId="1948191483">
    <w:abstractNumId w:val="6"/>
  </w:num>
  <w:num w:numId="7" w16cid:durableId="260065147">
    <w:abstractNumId w:val="4"/>
  </w:num>
  <w:num w:numId="8" w16cid:durableId="1935354504">
    <w:abstractNumId w:val="0"/>
  </w:num>
  <w:num w:numId="9" w16cid:durableId="698774905">
    <w:abstractNumId w:val="2"/>
  </w:num>
  <w:num w:numId="10" w16cid:durableId="430131863">
    <w:abstractNumId w:val="15"/>
  </w:num>
  <w:num w:numId="11" w16cid:durableId="2117672077">
    <w:abstractNumId w:val="10"/>
  </w:num>
  <w:num w:numId="12" w16cid:durableId="927035679">
    <w:abstractNumId w:val="13"/>
  </w:num>
  <w:num w:numId="13" w16cid:durableId="1770277033">
    <w:abstractNumId w:val="1"/>
  </w:num>
  <w:num w:numId="14" w16cid:durableId="1042247746">
    <w:abstractNumId w:val="8"/>
  </w:num>
  <w:num w:numId="15" w16cid:durableId="243802769">
    <w:abstractNumId w:val="5"/>
  </w:num>
  <w:num w:numId="16" w16cid:durableId="15847567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F7"/>
    <w:rsid w:val="000122AB"/>
    <w:rsid w:val="0007131A"/>
    <w:rsid w:val="00094241"/>
    <w:rsid w:val="000B0CC3"/>
    <w:rsid w:val="000C1BD4"/>
    <w:rsid w:val="000D4CE4"/>
    <w:rsid w:val="000D73C8"/>
    <w:rsid w:val="000E18D3"/>
    <w:rsid w:val="001411E8"/>
    <w:rsid w:val="001718D4"/>
    <w:rsid w:val="00190AA5"/>
    <w:rsid w:val="001A5C1F"/>
    <w:rsid w:val="001E31AF"/>
    <w:rsid w:val="001F1720"/>
    <w:rsid w:val="002071CA"/>
    <w:rsid w:val="00211A60"/>
    <w:rsid w:val="0024287F"/>
    <w:rsid w:val="00242BAE"/>
    <w:rsid w:val="00257FAD"/>
    <w:rsid w:val="002A4804"/>
    <w:rsid w:val="002B0281"/>
    <w:rsid w:val="002C334B"/>
    <w:rsid w:val="002F0A40"/>
    <w:rsid w:val="003039A1"/>
    <w:rsid w:val="00312BDA"/>
    <w:rsid w:val="00332038"/>
    <w:rsid w:val="0034623C"/>
    <w:rsid w:val="00362A0D"/>
    <w:rsid w:val="0037755D"/>
    <w:rsid w:val="003C31D6"/>
    <w:rsid w:val="003E3E0D"/>
    <w:rsid w:val="003F6007"/>
    <w:rsid w:val="0041384F"/>
    <w:rsid w:val="004371B8"/>
    <w:rsid w:val="00462F08"/>
    <w:rsid w:val="004A3C61"/>
    <w:rsid w:val="004A5922"/>
    <w:rsid w:val="004A78A4"/>
    <w:rsid w:val="00524612"/>
    <w:rsid w:val="005446F9"/>
    <w:rsid w:val="00575820"/>
    <w:rsid w:val="00597303"/>
    <w:rsid w:val="005A45CB"/>
    <w:rsid w:val="005C2156"/>
    <w:rsid w:val="005F41FE"/>
    <w:rsid w:val="00604C10"/>
    <w:rsid w:val="00606E87"/>
    <w:rsid w:val="00617B5E"/>
    <w:rsid w:val="00667B13"/>
    <w:rsid w:val="00710622"/>
    <w:rsid w:val="007135A0"/>
    <w:rsid w:val="00726EBD"/>
    <w:rsid w:val="007321FA"/>
    <w:rsid w:val="007621DE"/>
    <w:rsid w:val="00763ED4"/>
    <w:rsid w:val="00765492"/>
    <w:rsid w:val="00792061"/>
    <w:rsid w:val="00796D2D"/>
    <w:rsid w:val="007C3DC5"/>
    <w:rsid w:val="007F4C6F"/>
    <w:rsid w:val="008108E0"/>
    <w:rsid w:val="00840A53"/>
    <w:rsid w:val="008462C9"/>
    <w:rsid w:val="0088104E"/>
    <w:rsid w:val="008A0387"/>
    <w:rsid w:val="008A2FBB"/>
    <w:rsid w:val="008A4DED"/>
    <w:rsid w:val="008D31F5"/>
    <w:rsid w:val="00974E02"/>
    <w:rsid w:val="009766D4"/>
    <w:rsid w:val="009C05CD"/>
    <w:rsid w:val="009E1037"/>
    <w:rsid w:val="00A11E76"/>
    <w:rsid w:val="00A220BE"/>
    <w:rsid w:val="00A33796"/>
    <w:rsid w:val="00A76B7A"/>
    <w:rsid w:val="00A7788A"/>
    <w:rsid w:val="00AA0E42"/>
    <w:rsid w:val="00AA3F44"/>
    <w:rsid w:val="00AC2B4E"/>
    <w:rsid w:val="00AD4E70"/>
    <w:rsid w:val="00AD5DEF"/>
    <w:rsid w:val="00B341C4"/>
    <w:rsid w:val="00B441DF"/>
    <w:rsid w:val="00B71B3B"/>
    <w:rsid w:val="00BA085D"/>
    <w:rsid w:val="00BA5337"/>
    <w:rsid w:val="00BD277E"/>
    <w:rsid w:val="00BE65A6"/>
    <w:rsid w:val="00C93E1C"/>
    <w:rsid w:val="00CE21F7"/>
    <w:rsid w:val="00CE3121"/>
    <w:rsid w:val="00D63015"/>
    <w:rsid w:val="00D85C25"/>
    <w:rsid w:val="00DB5CBB"/>
    <w:rsid w:val="00DC7E46"/>
    <w:rsid w:val="00DD6980"/>
    <w:rsid w:val="00DF1F80"/>
    <w:rsid w:val="00DF2B0E"/>
    <w:rsid w:val="00E07836"/>
    <w:rsid w:val="00E24864"/>
    <w:rsid w:val="00E252EF"/>
    <w:rsid w:val="00E417E8"/>
    <w:rsid w:val="00F162A4"/>
    <w:rsid w:val="00F17442"/>
    <w:rsid w:val="00F36C72"/>
    <w:rsid w:val="00F50C53"/>
    <w:rsid w:val="00F517F7"/>
    <w:rsid w:val="00F55E33"/>
    <w:rsid w:val="00FB595E"/>
    <w:rsid w:val="00FC2B35"/>
    <w:rsid w:val="00FD6B2A"/>
    <w:rsid w:val="03B1EBD4"/>
    <w:rsid w:val="0437C198"/>
    <w:rsid w:val="05628163"/>
    <w:rsid w:val="056BA791"/>
    <w:rsid w:val="069D131C"/>
    <w:rsid w:val="09745D46"/>
    <w:rsid w:val="0B25842B"/>
    <w:rsid w:val="0C2A92E3"/>
    <w:rsid w:val="0FDAF3AA"/>
    <w:rsid w:val="12041B69"/>
    <w:rsid w:val="126B7579"/>
    <w:rsid w:val="132A6BC0"/>
    <w:rsid w:val="133D6CC3"/>
    <w:rsid w:val="1450E2DD"/>
    <w:rsid w:val="14A590E8"/>
    <w:rsid w:val="15712882"/>
    <w:rsid w:val="16D76C80"/>
    <w:rsid w:val="19245400"/>
    <w:rsid w:val="19EEFF0F"/>
    <w:rsid w:val="1DFD1300"/>
    <w:rsid w:val="1F939584"/>
    <w:rsid w:val="22C1E2EB"/>
    <w:rsid w:val="22C5A240"/>
    <w:rsid w:val="23900379"/>
    <w:rsid w:val="23BDFD1A"/>
    <w:rsid w:val="2541C45B"/>
    <w:rsid w:val="25ED414A"/>
    <w:rsid w:val="2732C5C5"/>
    <w:rsid w:val="28CE7FBA"/>
    <w:rsid w:val="29019C46"/>
    <w:rsid w:val="2B4E4F69"/>
    <w:rsid w:val="2E37B150"/>
    <w:rsid w:val="2EB2B059"/>
    <w:rsid w:val="308357C5"/>
    <w:rsid w:val="30F15537"/>
    <w:rsid w:val="31094534"/>
    <w:rsid w:val="32206DDF"/>
    <w:rsid w:val="366AE553"/>
    <w:rsid w:val="37339939"/>
    <w:rsid w:val="373EA9B6"/>
    <w:rsid w:val="37549342"/>
    <w:rsid w:val="3B20BE98"/>
    <w:rsid w:val="3C2BF1BD"/>
    <w:rsid w:val="3CC44EB0"/>
    <w:rsid w:val="3D8B0AB1"/>
    <w:rsid w:val="3DE83405"/>
    <w:rsid w:val="3F8EEF1A"/>
    <w:rsid w:val="3FA23BA6"/>
    <w:rsid w:val="4065E390"/>
    <w:rsid w:val="4199388B"/>
    <w:rsid w:val="42CCC0A7"/>
    <w:rsid w:val="43C100B7"/>
    <w:rsid w:val="43DA05F6"/>
    <w:rsid w:val="4419EDED"/>
    <w:rsid w:val="44624149"/>
    <w:rsid w:val="4575D657"/>
    <w:rsid w:val="469B9EF7"/>
    <w:rsid w:val="477994FE"/>
    <w:rsid w:val="48194277"/>
    <w:rsid w:val="48AC7AFA"/>
    <w:rsid w:val="48AD7719"/>
    <w:rsid w:val="49EE6E9A"/>
    <w:rsid w:val="4AA9C446"/>
    <w:rsid w:val="4ACF7814"/>
    <w:rsid w:val="4BE517DB"/>
    <w:rsid w:val="4C52D90C"/>
    <w:rsid w:val="4D02355B"/>
    <w:rsid w:val="4D359859"/>
    <w:rsid w:val="4DD7D997"/>
    <w:rsid w:val="4DFA9B77"/>
    <w:rsid w:val="4ED8869C"/>
    <w:rsid w:val="4F1CB89D"/>
    <w:rsid w:val="4F539D3E"/>
    <w:rsid w:val="506A533F"/>
    <w:rsid w:val="50E758E5"/>
    <w:rsid w:val="51074EE7"/>
    <w:rsid w:val="512E5865"/>
    <w:rsid w:val="554B2A75"/>
    <w:rsid w:val="5870693F"/>
    <w:rsid w:val="5CC5646F"/>
    <w:rsid w:val="5F599CDC"/>
    <w:rsid w:val="617B49C9"/>
    <w:rsid w:val="62220CCA"/>
    <w:rsid w:val="63441BA0"/>
    <w:rsid w:val="634517BF"/>
    <w:rsid w:val="64DFEC01"/>
    <w:rsid w:val="6692E36F"/>
    <w:rsid w:val="67086B59"/>
    <w:rsid w:val="67492C5E"/>
    <w:rsid w:val="6999A4C8"/>
    <w:rsid w:val="6AC44116"/>
    <w:rsid w:val="6CB0BB19"/>
    <w:rsid w:val="6D08855B"/>
    <w:rsid w:val="6D2E3855"/>
    <w:rsid w:val="6E4C9302"/>
    <w:rsid w:val="6E73EFE6"/>
    <w:rsid w:val="6FB17895"/>
    <w:rsid w:val="71920182"/>
    <w:rsid w:val="73476109"/>
    <w:rsid w:val="7371617F"/>
    <w:rsid w:val="7499D17C"/>
    <w:rsid w:val="7509B5E9"/>
    <w:rsid w:val="751C7BC2"/>
    <w:rsid w:val="756E2B5A"/>
    <w:rsid w:val="76DD73F2"/>
    <w:rsid w:val="78A45B63"/>
    <w:rsid w:val="798E3892"/>
    <w:rsid w:val="7B2A08F3"/>
    <w:rsid w:val="7BDD6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20887"/>
  <w15:docId w15:val="{3C5D79E3-3033-451B-B1D9-B529E163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1"/>
      <w:ind w:right="22"/>
      <w:jc w:val="center"/>
      <w:outlineLvl w:val="0"/>
    </w:pPr>
    <w:rPr>
      <w:b/>
      <w:bCs/>
      <w:sz w:val="28"/>
      <w:szCs w:val="28"/>
    </w:rPr>
  </w:style>
  <w:style w:type="paragraph" w:styleId="Heading2">
    <w:name w:val="heading 2"/>
    <w:basedOn w:val="Normal"/>
    <w:uiPriority w:val="9"/>
    <w:unhideWhenUsed/>
    <w:qFormat/>
    <w:pPr>
      <w:ind w:left="100"/>
      <w:jc w:val="both"/>
      <w:outlineLvl w:val="1"/>
    </w:pPr>
    <w:rPr>
      <w:b/>
      <w:bCs/>
      <w:sz w:val="24"/>
      <w:szCs w:val="24"/>
    </w:rPr>
  </w:style>
  <w:style w:type="paragraph" w:styleId="Heading3">
    <w:name w:val="heading 3"/>
    <w:basedOn w:val="Normal"/>
    <w:uiPriority w:val="9"/>
    <w:unhideWhenUsed/>
    <w:qFormat/>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312BDA"/>
    <w:pPr>
      <w:tabs>
        <w:tab w:val="center" w:pos="4513"/>
        <w:tab w:val="right" w:pos="9026"/>
      </w:tabs>
    </w:pPr>
  </w:style>
  <w:style w:type="character" w:customStyle="1" w:styleId="HeaderChar">
    <w:name w:val="Header Char"/>
    <w:basedOn w:val="DefaultParagraphFont"/>
    <w:link w:val="Header"/>
    <w:uiPriority w:val="99"/>
    <w:rsid w:val="00312BDA"/>
    <w:rPr>
      <w:rFonts w:ascii="Tahoma" w:eastAsia="Tahoma" w:hAnsi="Tahoma" w:cs="Tahoma"/>
    </w:rPr>
  </w:style>
  <w:style w:type="paragraph" w:styleId="Footer">
    <w:name w:val="footer"/>
    <w:basedOn w:val="Normal"/>
    <w:link w:val="FooterChar"/>
    <w:uiPriority w:val="99"/>
    <w:unhideWhenUsed/>
    <w:rsid w:val="00312BDA"/>
    <w:pPr>
      <w:tabs>
        <w:tab w:val="center" w:pos="4513"/>
        <w:tab w:val="right" w:pos="9026"/>
      </w:tabs>
    </w:pPr>
  </w:style>
  <w:style w:type="character" w:customStyle="1" w:styleId="FooterChar">
    <w:name w:val="Footer Char"/>
    <w:basedOn w:val="DefaultParagraphFont"/>
    <w:link w:val="Footer"/>
    <w:uiPriority w:val="99"/>
    <w:rsid w:val="00312BDA"/>
    <w:rPr>
      <w:rFonts w:ascii="Tahoma" w:eastAsia="Tahoma" w:hAnsi="Tahoma" w:cs="Tahoma"/>
    </w:rPr>
  </w:style>
  <w:style w:type="character" w:styleId="CommentReference">
    <w:name w:val="annotation reference"/>
    <w:basedOn w:val="DefaultParagraphFont"/>
    <w:uiPriority w:val="99"/>
    <w:semiHidden/>
    <w:unhideWhenUsed/>
    <w:rsid w:val="007C3DC5"/>
    <w:rPr>
      <w:sz w:val="16"/>
      <w:szCs w:val="16"/>
    </w:rPr>
  </w:style>
  <w:style w:type="paragraph" w:styleId="CommentText">
    <w:name w:val="annotation text"/>
    <w:basedOn w:val="Normal"/>
    <w:link w:val="CommentTextChar"/>
    <w:uiPriority w:val="99"/>
    <w:unhideWhenUsed/>
    <w:rsid w:val="007C3DC5"/>
    <w:rPr>
      <w:sz w:val="20"/>
      <w:szCs w:val="20"/>
    </w:rPr>
  </w:style>
  <w:style w:type="character" w:customStyle="1" w:styleId="CommentTextChar">
    <w:name w:val="Comment Text Char"/>
    <w:basedOn w:val="DefaultParagraphFont"/>
    <w:link w:val="CommentText"/>
    <w:uiPriority w:val="99"/>
    <w:rsid w:val="007C3DC5"/>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7C3DC5"/>
    <w:rPr>
      <w:b/>
      <w:bCs/>
    </w:rPr>
  </w:style>
  <w:style w:type="character" w:customStyle="1" w:styleId="CommentSubjectChar">
    <w:name w:val="Comment Subject Char"/>
    <w:basedOn w:val="CommentTextChar"/>
    <w:link w:val="CommentSubject"/>
    <w:uiPriority w:val="99"/>
    <w:semiHidden/>
    <w:rsid w:val="007C3DC5"/>
    <w:rPr>
      <w:rFonts w:ascii="Tahoma" w:eastAsia="Tahoma" w:hAnsi="Tahoma" w:cs="Tahoma"/>
      <w:b/>
      <w:bCs/>
      <w:sz w:val="20"/>
      <w:szCs w:val="20"/>
    </w:rPr>
  </w:style>
  <w:style w:type="paragraph" w:customStyle="1" w:styleId="p1">
    <w:name w:val="p1"/>
    <w:basedOn w:val="Normal"/>
    <w:rsid w:val="004A3C6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ListBullet">
    <w:name w:val="List Bullet"/>
    <w:basedOn w:val="Normal"/>
    <w:uiPriority w:val="99"/>
    <w:unhideWhenUsed/>
    <w:rsid w:val="004A3C61"/>
    <w:pPr>
      <w:widowControl/>
      <w:numPr>
        <w:numId w:val="8"/>
      </w:numPr>
      <w:autoSpaceDE/>
      <w:autoSpaceDN/>
      <w:spacing w:after="200" w:line="276" w:lineRule="auto"/>
      <w:contextualSpacing/>
    </w:pPr>
    <w:rPr>
      <w:rFonts w:asciiTheme="minorHAnsi" w:eastAsiaTheme="minorEastAsia" w:hAnsiTheme="minorHAnsi" w:cstheme="minorBidi"/>
    </w:rPr>
  </w:style>
  <w:style w:type="character" w:customStyle="1" w:styleId="s1">
    <w:name w:val="s1"/>
    <w:basedOn w:val="DefaultParagraphFont"/>
    <w:rsid w:val="009766D4"/>
  </w:style>
  <w:style w:type="paragraph" w:customStyle="1" w:styleId="p2">
    <w:name w:val="p2"/>
    <w:basedOn w:val="Normal"/>
    <w:rsid w:val="009766D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247459">
      <w:bodyDiv w:val="1"/>
      <w:marLeft w:val="0"/>
      <w:marRight w:val="0"/>
      <w:marTop w:val="0"/>
      <w:marBottom w:val="0"/>
      <w:divBdr>
        <w:top w:val="none" w:sz="0" w:space="0" w:color="auto"/>
        <w:left w:val="none" w:sz="0" w:space="0" w:color="auto"/>
        <w:bottom w:val="none" w:sz="0" w:space="0" w:color="auto"/>
        <w:right w:val="none" w:sz="0" w:space="0" w:color="auto"/>
      </w:divBdr>
    </w:div>
    <w:div w:id="1092358019">
      <w:bodyDiv w:val="1"/>
      <w:marLeft w:val="0"/>
      <w:marRight w:val="0"/>
      <w:marTop w:val="0"/>
      <w:marBottom w:val="0"/>
      <w:divBdr>
        <w:top w:val="none" w:sz="0" w:space="0" w:color="auto"/>
        <w:left w:val="none" w:sz="0" w:space="0" w:color="auto"/>
        <w:bottom w:val="none" w:sz="0" w:space="0" w:color="auto"/>
        <w:right w:val="none" w:sz="0" w:space="0" w:color="auto"/>
      </w:divBdr>
    </w:div>
    <w:div w:id="1110466926">
      <w:bodyDiv w:val="1"/>
      <w:marLeft w:val="0"/>
      <w:marRight w:val="0"/>
      <w:marTop w:val="0"/>
      <w:marBottom w:val="0"/>
      <w:divBdr>
        <w:top w:val="none" w:sz="0" w:space="0" w:color="auto"/>
        <w:left w:val="none" w:sz="0" w:space="0" w:color="auto"/>
        <w:bottom w:val="none" w:sz="0" w:space="0" w:color="auto"/>
        <w:right w:val="none" w:sz="0" w:space="0" w:color="auto"/>
      </w:divBdr>
    </w:div>
    <w:div w:id="1646348653">
      <w:bodyDiv w:val="1"/>
      <w:marLeft w:val="0"/>
      <w:marRight w:val="0"/>
      <w:marTop w:val="0"/>
      <w:marBottom w:val="0"/>
      <w:divBdr>
        <w:top w:val="none" w:sz="0" w:space="0" w:color="auto"/>
        <w:left w:val="none" w:sz="0" w:space="0" w:color="auto"/>
        <w:bottom w:val="none" w:sz="0" w:space="0" w:color="auto"/>
        <w:right w:val="none" w:sz="0" w:space="0" w:color="auto"/>
      </w:divBdr>
    </w:div>
    <w:div w:id="2099522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d8f65b-3f74-4511-aeab-4c94983a1ca6">
      <UserInfo>
        <DisplayName>Victoria Padmore</DisplayName>
        <AccountId>35</AccountId>
        <AccountType/>
      </UserInfo>
      <UserInfo>
        <DisplayName>Qaisar Chaudhary</DisplayName>
        <AccountId>73</AccountId>
        <AccountType/>
      </UserInfo>
      <UserInfo>
        <DisplayName>Necla Bakirci</DisplayName>
        <AccountId>22</AccountId>
        <AccountType/>
      </UserInfo>
      <UserInfo>
        <DisplayName>Miry Mayer</DisplayName>
        <AccountId>16</AccountId>
        <AccountType/>
      </UserInfo>
      <UserInfo>
        <DisplayName>Nabila Hozma</DisplayName>
        <AccountId>30</AccountId>
        <AccountType/>
      </UserInfo>
      <UserInfo>
        <DisplayName>Sam Crosby</DisplayName>
        <AccountId>37</AccountId>
        <AccountType/>
      </UserInfo>
      <UserInfo>
        <DisplayName>Anisa Begum</DisplayName>
        <AccountId>112</AccountId>
        <AccountType/>
      </UserInfo>
      <UserInfo>
        <DisplayName>Dot Calvert</DisplayName>
        <AccountId>440</AccountId>
        <AccountType/>
      </UserInfo>
      <UserInfo>
        <DisplayName>Sarah Harnett</DisplayName>
        <AccountId>351</AccountId>
        <AccountType/>
      </UserInfo>
      <UserInfo>
        <DisplayName>Rebecca Sycamore</DisplayName>
        <AccountId>396</AccountId>
        <AccountType/>
      </UserInfo>
      <UserInfo>
        <DisplayName>Helen Evans</DisplayName>
        <AccountId>38</AccountId>
        <AccountType/>
      </UserInfo>
      <UserInfo>
        <DisplayName>Jamie Palmer</DisplayName>
        <AccountId>65</AccountId>
        <AccountType/>
      </UserInfo>
      <UserInfo>
        <DisplayName>Andrea Pisci</DisplayName>
        <AccountId>553</AccountId>
        <AccountType/>
      </UserInfo>
    </SharedWithUsers>
    <lcf76f155ced4ddcb4097134ff3c332f xmlns="9c1b3150-6f8c-4f35-b703-7906ea6dc8d8">
      <Terms xmlns="http://schemas.microsoft.com/office/infopath/2007/PartnerControls"/>
    </lcf76f155ced4ddcb4097134ff3c332f>
    <TaxCatchAll xmlns="9ed8f65b-3f74-4511-aeab-4c94983a1c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5431C07D06CD47A0002162C9AABDA2" ma:contentTypeVersion="18" ma:contentTypeDescription="Create a new document." ma:contentTypeScope="" ma:versionID="0d8f06089dad26446a8b158229ee9693">
  <xsd:schema xmlns:xsd="http://www.w3.org/2001/XMLSchema" xmlns:xs="http://www.w3.org/2001/XMLSchema" xmlns:p="http://schemas.microsoft.com/office/2006/metadata/properties" xmlns:ns2="9c1b3150-6f8c-4f35-b703-7906ea6dc8d8" xmlns:ns3="9ed8f65b-3f74-4511-aeab-4c94983a1ca6" targetNamespace="http://schemas.microsoft.com/office/2006/metadata/properties" ma:root="true" ma:fieldsID="285e673b9bcebb014f6711422fd33a12" ns2:_="" ns3:_="">
    <xsd:import namespace="9c1b3150-6f8c-4f35-b703-7906ea6dc8d8"/>
    <xsd:import namespace="9ed8f65b-3f74-4511-aeab-4c94983a1c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b3150-6f8c-4f35-b703-7906ea6dc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e0bae0-477d-45e9-8913-e7ac2eb2031f"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d8f65b-3f74-4511-aeab-4c94983a1c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c174cea-ebd3-4c51-885f-8974badb63c2}" ma:internalName="TaxCatchAll" ma:showField="CatchAllData" ma:web="9ed8f65b-3f74-4511-aeab-4c94983a1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3A2D14-895D-42AB-9D2C-9A5B7974310A}">
  <ds:schemaRefs>
    <ds:schemaRef ds:uri="http://schemas.microsoft.com/office/2006/metadata/properties"/>
    <ds:schemaRef ds:uri="http://schemas.microsoft.com/office/infopath/2007/PartnerControls"/>
    <ds:schemaRef ds:uri="9ed8f65b-3f74-4511-aeab-4c94983a1ca6"/>
    <ds:schemaRef ds:uri="9c1b3150-6f8c-4f35-b703-7906ea6dc8d8"/>
  </ds:schemaRefs>
</ds:datastoreItem>
</file>

<file path=customXml/itemProps2.xml><?xml version="1.0" encoding="utf-8"?>
<ds:datastoreItem xmlns:ds="http://schemas.openxmlformats.org/officeDocument/2006/customXml" ds:itemID="{74923A3A-B453-4A08-8205-1D4753615484}">
  <ds:schemaRefs>
    <ds:schemaRef ds:uri="http://schemas.microsoft.com/sharepoint/v3/contenttype/forms"/>
  </ds:schemaRefs>
</ds:datastoreItem>
</file>

<file path=customXml/itemProps3.xml><?xml version="1.0" encoding="utf-8"?>
<ds:datastoreItem xmlns:ds="http://schemas.openxmlformats.org/officeDocument/2006/customXml" ds:itemID="{D1CE1163-BF53-4763-9F45-24AA21C34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b3150-6f8c-4f35-b703-7906ea6dc8d8"/>
    <ds:schemaRef ds:uri="9ed8f65b-3f74-4511-aeab-4c94983a1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Zoltie</dc:creator>
  <cp:keywords/>
  <cp:lastModifiedBy>Kate Barron</cp:lastModifiedBy>
  <cp:revision>9</cp:revision>
  <dcterms:created xsi:type="dcterms:W3CDTF">2025-05-14T16:53:00Z</dcterms:created>
  <dcterms:modified xsi:type="dcterms:W3CDTF">2025-11-26T15:16:00Z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Microsoft® Word for Microsoft 365</vt:lpwstr>
  </property>
  <property fmtid="{D5CDD505-2E9C-101B-9397-08002B2CF9AE}" pid="4" name="LastSaved">
    <vt:filetime>2023-12-04T00:00:00Z</vt:filetime>
  </property>
  <property fmtid="{D5CDD505-2E9C-101B-9397-08002B2CF9AE}" pid="5" name="Producer">
    <vt:lpwstr>Microsoft® Word for Microsoft 365</vt:lpwstr>
  </property>
  <property fmtid="{D5CDD505-2E9C-101B-9397-08002B2CF9AE}" pid="6" name="ContentTypeId">
    <vt:lpwstr>0x010100945431C07D06CD47A0002162C9AABDA2</vt:lpwstr>
  </property>
  <property fmtid="{D5CDD505-2E9C-101B-9397-08002B2CF9AE}" pid="7" name="Order">
    <vt:r8>4000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